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5BE3" w:rsidRPr="00E63D70" w:rsidRDefault="00795BE3" w:rsidP="00111B6B">
      <w:pPr>
        <w:shd w:val="clear" w:color="auto" w:fill="FFFFFF"/>
        <w:spacing w:after="0" w:line="20" w:lineRule="atLeast"/>
        <w:jc w:val="right"/>
        <w:rPr>
          <w:rFonts w:ascii="Times New Roman" w:hAnsi="Times New Roman"/>
          <w:color w:val="000000"/>
          <w:sz w:val="24"/>
          <w:szCs w:val="24"/>
          <w:lang w:eastAsia="hr-HR"/>
        </w:rPr>
      </w:pPr>
      <w:r w:rsidRPr="00E63D70">
        <w:rPr>
          <w:rFonts w:ascii="Times New Roman" w:hAnsi="Times New Roman"/>
          <w:color w:val="000000"/>
          <w:sz w:val="24"/>
          <w:szCs w:val="24"/>
          <w:lang w:eastAsia="hr-HR"/>
        </w:rPr>
        <w:t>PRIJEDLOG</w:t>
      </w:r>
    </w:p>
    <w:p w:rsidR="00795BE3" w:rsidRPr="00E63D70" w:rsidRDefault="00795BE3" w:rsidP="00111B6B">
      <w:pPr>
        <w:shd w:val="clear" w:color="auto" w:fill="FFFFFF"/>
        <w:spacing w:after="0" w:line="20" w:lineRule="atLeast"/>
        <w:jc w:val="both"/>
        <w:rPr>
          <w:rFonts w:ascii="Times New Roman" w:hAnsi="Times New Roman"/>
          <w:color w:val="000000"/>
          <w:sz w:val="24"/>
          <w:szCs w:val="24"/>
          <w:lang w:eastAsia="hr-HR"/>
        </w:rPr>
      </w:pPr>
    </w:p>
    <w:p w:rsidR="00795BE3" w:rsidRPr="00E63D70" w:rsidRDefault="00795BE3" w:rsidP="00111B6B">
      <w:pPr>
        <w:shd w:val="clear" w:color="auto" w:fill="FFFFFF"/>
        <w:spacing w:after="0" w:line="20" w:lineRule="atLeast"/>
        <w:jc w:val="both"/>
        <w:rPr>
          <w:rFonts w:ascii="Times New Roman" w:hAnsi="Times New Roman"/>
          <w:sz w:val="24"/>
          <w:szCs w:val="24"/>
          <w:lang w:eastAsia="hr-HR"/>
        </w:rPr>
      </w:pPr>
      <w:r w:rsidRPr="00E63D70">
        <w:rPr>
          <w:rFonts w:ascii="Times New Roman" w:hAnsi="Times New Roman"/>
          <w:sz w:val="24"/>
          <w:szCs w:val="24"/>
          <w:lang w:eastAsia="hr-HR"/>
        </w:rPr>
        <w:t xml:space="preserve">Temeljem članka 22. Zakona o zaštiti i očuvanju kulturnih dobara (Narodne novine 69/99, 151/03, 157/03, 100/04, 87/09, 88/10, 61/11, 25/12, 136/12, 157/13, 152/14, 98/15, 44/17, 90/18, 32/20, 62/20 i 117/21) </w:t>
      </w:r>
      <w:r>
        <w:rPr>
          <w:rFonts w:ascii="Times New Roman" w:hAnsi="Times New Roman"/>
          <w:sz w:val="24"/>
          <w:szCs w:val="24"/>
          <w:lang w:eastAsia="hr-HR"/>
        </w:rPr>
        <w:t>i</w:t>
      </w:r>
      <w:r w:rsidRPr="00E63D70">
        <w:rPr>
          <w:rFonts w:ascii="Times New Roman" w:hAnsi="Times New Roman"/>
          <w:sz w:val="24"/>
          <w:szCs w:val="24"/>
          <w:lang w:eastAsia="hr-HR"/>
        </w:rPr>
        <w:t xml:space="preserve"> članka </w:t>
      </w:r>
      <w:r>
        <w:rPr>
          <w:rFonts w:ascii="Times New Roman" w:hAnsi="Times New Roman"/>
          <w:sz w:val="24"/>
          <w:szCs w:val="24"/>
          <w:lang w:eastAsia="hr-HR"/>
        </w:rPr>
        <w:t>28</w:t>
      </w:r>
      <w:r w:rsidRPr="00E63D70">
        <w:rPr>
          <w:rFonts w:ascii="Times New Roman" w:hAnsi="Times New Roman"/>
          <w:sz w:val="24"/>
          <w:szCs w:val="24"/>
          <w:lang w:eastAsia="hr-HR"/>
        </w:rPr>
        <w:t>. Statuta Općine Blato (Službeni glasnik Općine Blato 2/21) Općinsko vijeće Općine Blato je na svojoj ….. sjednici održanoj dana  …………. 2025.  godine,  donijelo</w:t>
      </w:r>
    </w:p>
    <w:p w:rsidR="00795BE3" w:rsidRPr="00E63D70" w:rsidRDefault="00795BE3" w:rsidP="00111B6B">
      <w:pPr>
        <w:shd w:val="clear" w:color="auto" w:fill="FFFFFF"/>
        <w:spacing w:after="0" w:line="20" w:lineRule="atLeast"/>
        <w:jc w:val="center"/>
        <w:rPr>
          <w:rFonts w:ascii="Times New Roman" w:hAnsi="Times New Roman"/>
          <w:b/>
          <w:bCs/>
          <w:sz w:val="24"/>
          <w:szCs w:val="24"/>
          <w:lang w:eastAsia="hr-HR"/>
        </w:rPr>
      </w:pPr>
    </w:p>
    <w:p w:rsidR="00795BE3" w:rsidRPr="00E63D70" w:rsidRDefault="00795BE3" w:rsidP="00111B6B">
      <w:pPr>
        <w:shd w:val="clear" w:color="auto" w:fill="FFFFFF"/>
        <w:spacing w:after="0" w:line="20" w:lineRule="atLeast"/>
        <w:jc w:val="center"/>
        <w:rPr>
          <w:rFonts w:ascii="Times New Roman" w:hAnsi="Times New Roman"/>
          <w:sz w:val="24"/>
          <w:szCs w:val="24"/>
          <w:lang w:eastAsia="hr-HR"/>
        </w:rPr>
      </w:pPr>
      <w:r w:rsidRPr="00E63D70">
        <w:rPr>
          <w:rFonts w:ascii="Times New Roman" w:hAnsi="Times New Roman"/>
          <w:b/>
          <w:bCs/>
          <w:sz w:val="24"/>
          <w:szCs w:val="24"/>
          <w:lang w:eastAsia="hr-HR"/>
        </w:rPr>
        <w:t>Odluku o proglašenju Arheološkog parka Kopila</w:t>
      </w:r>
    </w:p>
    <w:p w:rsidR="00795BE3" w:rsidRPr="00E63D70" w:rsidRDefault="00795BE3" w:rsidP="00111B6B">
      <w:pPr>
        <w:shd w:val="clear" w:color="auto" w:fill="FFFFFF"/>
        <w:spacing w:after="0" w:line="20" w:lineRule="atLeast"/>
        <w:jc w:val="center"/>
        <w:rPr>
          <w:rFonts w:ascii="Times New Roman" w:hAnsi="Times New Roman"/>
          <w:b/>
          <w:sz w:val="24"/>
          <w:szCs w:val="24"/>
          <w:lang w:eastAsia="hr-HR"/>
        </w:rPr>
      </w:pPr>
    </w:p>
    <w:p w:rsidR="00795BE3" w:rsidRPr="00E63D70" w:rsidRDefault="00795BE3" w:rsidP="00111B6B">
      <w:pPr>
        <w:shd w:val="clear" w:color="auto" w:fill="FFFFFF"/>
        <w:spacing w:after="0" w:line="20" w:lineRule="atLeast"/>
        <w:jc w:val="center"/>
        <w:rPr>
          <w:rFonts w:ascii="Times New Roman" w:hAnsi="Times New Roman"/>
          <w:b/>
          <w:sz w:val="24"/>
          <w:szCs w:val="24"/>
          <w:lang w:eastAsia="hr-HR"/>
        </w:rPr>
      </w:pPr>
      <w:r w:rsidRPr="00E63D70">
        <w:rPr>
          <w:rFonts w:ascii="Times New Roman" w:hAnsi="Times New Roman"/>
          <w:b/>
          <w:sz w:val="24"/>
          <w:szCs w:val="24"/>
          <w:lang w:eastAsia="hr-HR"/>
        </w:rPr>
        <w:t>Članak 1.</w:t>
      </w:r>
    </w:p>
    <w:p w:rsidR="00795BE3" w:rsidRPr="00E63D70" w:rsidRDefault="00795BE3" w:rsidP="00111B6B">
      <w:pPr>
        <w:spacing w:after="0" w:line="20" w:lineRule="atLeast"/>
        <w:jc w:val="both"/>
        <w:textAlignment w:val="baseline"/>
        <w:rPr>
          <w:rFonts w:ascii="Times New Roman" w:hAnsi="Times New Roman"/>
          <w:sz w:val="24"/>
          <w:szCs w:val="24"/>
          <w:lang w:eastAsia="hr-HR"/>
        </w:rPr>
      </w:pPr>
      <w:r w:rsidRPr="00E63D70">
        <w:rPr>
          <w:rFonts w:ascii="Times New Roman" w:hAnsi="Times New Roman"/>
          <w:sz w:val="24"/>
          <w:szCs w:val="24"/>
          <w:lang w:eastAsia="hr-HR"/>
        </w:rPr>
        <w:t xml:space="preserve">Ovom se odlukom određeno područje na čest.zgr. 636, 637, </w:t>
      </w:r>
      <w:r w:rsidRPr="00E63D70">
        <w:rPr>
          <w:rFonts w:ascii="Times New Roman" w:hAnsi="Times New Roman"/>
          <w:sz w:val="24"/>
          <w:szCs w:val="24"/>
        </w:rPr>
        <w:t xml:space="preserve">655/1 i 655/2, čest.zem. 6009, </w:t>
      </w:r>
      <w:r>
        <w:rPr>
          <w:rFonts w:ascii="Times New Roman" w:hAnsi="Times New Roman"/>
          <w:sz w:val="24"/>
          <w:szCs w:val="24"/>
        </w:rPr>
        <w:t xml:space="preserve">6010, </w:t>
      </w:r>
      <w:r w:rsidRPr="00E63D70">
        <w:rPr>
          <w:rFonts w:ascii="Times New Roman" w:hAnsi="Times New Roman"/>
          <w:sz w:val="24"/>
          <w:szCs w:val="24"/>
        </w:rPr>
        <w:t xml:space="preserve">6013, 6014, 6015, 6016/1, 6016/2, 6017, 6018/1, 6018/2, 6019/1, 6019/2, 6020/1, 6020/2, 6021/1, 6021/2, 6022/1, 6022/2, 6023/1, 6023/2, 6023/3, 6024/1, 6024/2, 6024/3, 6024/4, 6024/5, 6024/6, 6025/1, 6025/2, 6025/3, 6026/1, 6026/2, 6027, 6028, 6029/1, 6029/2, 6029/3, 6029/4, 6030, 6031, 6032, 6033/1, 6033/2, 6034/1, 6034/2, 6035/1, 6035/2, 6036/1, 6036/2, 6036/3, 6037/1, 6037/2, 6037/3, 6037/4, 6037/5, 6038/1, 6038/2, 6038/3, 6039, 6040/1, 6040/2, 6041, 6045/1, 6045/2, 6046/1, 6046/2, 6047/1, 6047/2, 6048/1, 6048/2, 6049, 6050, 6051, 6052, 6053, 6054, 6055, 6056, 6057, 6058/1, 6058/2, 6059, 6060/1, 6060/2, 6061/1, 6061/2, 6062, 6063, 6064, 6065/1, 6065/2, 6067, 6068, 6069/1, 6069/2, 6069/3, 6070/1, 6070/2, 6072, 6074/1, 6074/2, 6075/1, 6075/2, 6076, 6077, 6078, 6079/1, 6079/2, 6079/3, 6080/1, 6080/2, 6081, 6084/1, 6084/2, 6084/3, 6084/4, 6084/5, 6085/1, 6085/2, 6085/3, 6085/4, 6085/5, 6086, </w:t>
      </w:r>
      <w:r>
        <w:rPr>
          <w:rFonts w:ascii="Times New Roman" w:hAnsi="Times New Roman"/>
          <w:sz w:val="24"/>
          <w:szCs w:val="24"/>
        </w:rPr>
        <w:t xml:space="preserve">6087/1, 6087/2, </w:t>
      </w:r>
      <w:r w:rsidRPr="00E63D70">
        <w:rPr>
          <w:rFonts w:ascii="Times New Roman" w:hAnsi="Times New Roman"/>
          <w:sz w:val="24"/>
          <w:szCs w:val="24"/>
        </w:rPr>
        <w:t xml:space="preserve">6088/1, 6088/2, </w:t>
      </w:r>
      <w:r>
        <w:rPr>
          <w:rFonts w:ascii="Times New Roman" w:hAnsi="Times New Roman"/>
          <w:sz w:val="24"/>
          <w:szCs w:val="24"/>
        </w:rPr>
        <w:t xml:space="preserve">6089/1, 6089/2, </w:t>
      </w:r>
      <w:r w:rsidRPr="00E63D70">
        <w:rPr>
          <w:rFonts w:ascii="Times New Roman" w:hAnsi="Times New Roman"/>
          <w:sz w:val="24"/>
          <w:szCs w:val="24"/>
        </w:rPr>
        <w:t xml:space="preserve">6090/1, 6090/2, 6090/3, 6091, 6092, 6093, 6094, 6095/1, 6095/2, 6096/1, 6096/2, 6097, 6098, 6099, 6100, 6103, 6104, 6105/1, 6105/2, 6106, 6108, 6110, 6341/2, 6341/3, 6342, </w:t>
      </w:r>
      <w:r>
        <w:rPr>
          <w:rFonts w:ascii="Times New Roman" w:hAnsi="Times New Roman"/>
          <w:sz w:val="24"/>
          <w:szCs w:val="24"/>
        </w:rPr>
        <w:t xml:space="preserve">6343, 6344, </w:t>
      </w:r>
      <w:r w:rsidRPr="00E63D70">
        <w:rPr>
          <w:rFonts w:ascii="Times New Roman" w:hAnsi="Times New Roman"/>
          <w:sz w:val="24"/>
          <w:szCs w:val="24"/>
        </w:rPr>
        <w:t xml:space="preserve">6345/1, 6345/2, 6346/1, 6346/2, 6346/3, 6346/4, 6347/1, 6347/2, 6350/1, 6350/2, 6350/3, 6350/4, 6350/5, 6351, 6353, 6354, 6355, 6356, 6357, 6358, 6359/1, 6359/2, 6360, 6361/1, 6361/2, 6362, 6363, 6364, 6365/1, 6365/2, 6366, 6367, 6368/1, 6368/2, 6369, 6370, 6371/1, 6371/2, 6372/1, 6372/2, 6374, 6375, 6376, 6377, 6378, 6379, 6380, 6381/1, 6381/2, 6382, 6383/1, 6383/2, 6384/1, 6384/2, 6385, 6386, 6387/1, 6387/2, 6387/3, 6387/4, 6388, </w:t>
      </w:r>
      <w:r>
        <w:rPr>
          <w:rFonts w:ascii="Times New Roman" w:hAnsi="Times New Roman"/>
          <w:sz w:val="24"/>
          <w:szCs w:val="24"/>
        </w:rPr>
        <w:t xml:space="preserve">6389, </w:t>
      </w:r>
      <w:r w:rsidRPr="00E63D70">
        <w:rPr>
          <w:rFonts w:ascii="Times New Roman" w:hAnsi="Times New Roman"/>
          <w:sz w:val="24"/>
          <w:szCs w:val="24"/>
        </w:rPr>
        <w:t xml:space="preserve">6390, 6392/1, 6392/2, 6393, 6394, 6395, 6396, 6397, 6401, 6402, 6403, 6404, 6405, 6406, 6407, 6408, 6409/1, 6410/2, 6412, 6802/4, 6802/5, 6803/1, 6803/2, 6803/3, 6803/4, 6803/5, 6803/6, 6803/7, 6803/8, 6803/9, 6804/1, 6804/2, 6805, 6808, 6809, 6810, 6812, 6813, 6814, 6815, 6816, 6820/1, 6820/2, 6820/3, 6821/1, 6821/2, 6822, 6823, 6824/1, 6824/2, 6825, 6826, 6827, 6828, 6829, 6830/1, 6830/2, 6832, 6833/1, 6833/2, 6834, 6835, 6836/1, 6836/2, 6837/1, 6837/2, 6837/3, 6837/4, 6838/1, 6838/2, 6879, 6897/2, 6898, 6903, 6904, 6906, 6907, 6908/1, 6908/2, 6910/1, 6910/2, 6911/1, 6911/2, 6913/1, 6913/2, 6914/1, 6914/2, 16038/1, 16038/2 i 16038/3, te na dijelu čest.zem. 31062, 31068 i 31069, sve </w:t>
      </w:r>
      <w:r w:rsidRPr="00E63D70">
        <w:rPr>
          <w:rFonts w:ascii="Times New Roman" w:hAnsi="Times New Roman"/>
          <w:sz w:val="24"/>
          <w:szCs w:val="24"/>
          <w:lang w:eastAsia="hr-HR"/>
        </w:rPr>
        <w:t>k.o. Blato proglašava Arheološkim parkom Kopila radi zaštite, prezentacije in situ, edukacije i poticanja kulturnog turizma.</w:t>
      </w:r>
    </w:p>
    <w:p w:rsidR="00795BE3" w:rsidRPr="00E63D70" w:rsidRDefault="00795BE3" w:rsidP="00111B6B">
      <w:pPr>
        <w:spacing w:after="0" w:line="20" w:lineRule="atLeast"/>
        <w:jc w:val="both"/>
        <w:textAlignment w:val="baseline"/>
        <w:rPr>
          <w:rFonts w:ascii="Times New Roman" w:hAnsi="Times New Roman"/>
          <w:sz w:val="24"/>
          <w:szCs w:val="24"/>
          <w:lang w:eastAsia="hr-HR"/>
        </w:rPr>
      </w:pPr>
    </w:p>
    <w:p w:rsidR="00795BE3" w:rsidRPr="00E63D70" w:rsidRDefault="00795BE3" w:rsidP="00111B6B">
      <w:pPr>
        <w:shd w:val="clear" w:color="auto" w:fill="FFFFFF"/>
        <w:spacing w:after="0" w:line="20" w:lineRule="atLeast"/>
        <w:jc w:val="center"/>
        <w:rPr>
          <w:rFonts w:ascii="Times New Roman" w:hAnsi="Times New Roman"/>
          <w:b/>
          <w:sz w:val="24"/>
          <w:szCs w:val="24"/>
          <w:lang w:eastAsia="hr-HR"/>
        </w:rPr>
      </w:pPr>
      <w:r w:rsidRPr="00E63D70">
        <w:rPr>
          <w:rFonts w:ascii="Times New Roman" w:hAnsi="Times New Roman"/>
          <w:b/>
          <w:sz w:val="24"/>
          <w:szCs w:val="24"/>
          <w:lang w:eastAsia="hr-HR"/>
        </w:rPr>
        <w:t>Članak 2.</w:t>
      </w:r>
    </w:p>
    <w:p w:rsidR="00795BE3" w:rsidRPr="00E63D70" w:rsidRDefault="00795BE3" w:rsidP="00111B6B">
      <w:pPr>
        <w:shd w:val="clear" w:color="auto" w:fill="FFFFFF"/>
        <w:spacing w:after="0" w:line="20" w:lineRule="atLeast"/>
        <w:jc w:val="center"/>
        <w:rPr>
          <w:rFonts w:ascii="Times New Roman" w:hAnsi="Times New Roman"/>
          <w:b/>
          <w:sz w:val="24"/>
          <w:szCs w:val="24"/>
          <w:lang w:eastAsia="hr-HR"/>
        </w:rPr>
      </w:pPr>
    </w:p>
    <w:p w:rsidR="00795BE3" w:rsidRPr="00E63D70" w:rsidRDefault="00795BE3" w:rsidP="00111B6B">
      <w:pPr>
        <w:spacing w:after="0" w:line="20" w:lineRule="atLeast"/>
        <w:jc w:val="both"/>
        <w:rPr>
          <w:rFonts w:ascii="Times New Roman" w:hAnsi="Times New Roman"/>
          <w:sz w:val="24"/>
          <w:szCs w:val="24"/>
          <w:lang w:eastAsia="hr-HR"/>
        </w:rPr>
      </w:pPr>
      <w:r w:rsidRPr="00E63D70">
        <w:rPr>
          <w:rFonts w:ascii="Times New Roman" w:hAnsi="Times New Roman"/>
          <w:sz w:val="24"/>
          <w:szCs w:val="24"/>
        </w:rPr>
        <w:t xml:space="preserve">Granice Arheološkog parka Kopila određene su u Prilogu I. - </w:t>
      </w:r>
      <w:r>
        <w:rPr>
          <w:rFonts w:ascii="Times New Roman" w:hAnsi="Times New Roman"/>
          <w:sz w:val="24"/>
          <w:szCs w:val="24"/>
        </w:rPr>
        <w:t>K</w:t>
      </w:r>
      <w:r w:rsidRPr="00E63D70">
        <w:rPr>
          <w:rFonts w:ascii="Times New Roman" w:hAnsi="Times New Roman"/>
          <w:sz w:val="24"/>
          <w:szCs w:val="24"/>
        </w:rPr>
        <w:t>art</w:t>
      </w:r>
      <w:r>
        <w:rPr>
          <w:rFonts w:ascii="Times New Roman" w:hAnsi="Times New Roman"/>
          <w:sz w:val="24"/>
          <w:szCs w:val="24"/>
        </w:rPr>
        <w:t>e</w:t>
      </w:r>
      <w:r w:rsidRPr="00E63D70">
        <w:rPr>
          <w:rFonts w:ascii="Times New Roman" w:hAnsi="Times New Roman"/>
          <w:sz w:val="24"/>
          <w:szCs w:val="24"/>
        </w:rPr>
        <w:t xml:space="preserve"> Arheološkog parka Kopila (mjerilo 1:2</w:t>
      </w:r>
      <w:r>
        <w:rPr>
          <w:rFonts w:ascii="Times New Roman" w:hAnsi="Times New Roman"/>
          <w:sz w:val="24"/>
          <w:szCs w:val="24"/>
        </w:rPr>
        <w:t>5</w:t>
      </w:r>
      <w:r w:rsidRPr="00E63D70">
        <w:rPr>
          <w:rFonts w:ascii="Times New Roman" w:hAnsi="Times New Roman"/>
          <w:sz w:val="24"/>
          <w:szCs w:val="24"/>
        </w:rPr>
        <w:t xml:space="preserve">00) koji je sastavni dio ove Odluke, </w:t>
      </w:r>
      <w:r w:rsidRPr="00E63D70">
        <w:rPr>
          <w:rFonts w:ascii="Times New Roman" w:hAnsi="Times New Roman"/>
          <w:sz w:val="24"/>
          <w:szCs w:val="24"/>
          <w:lang w:eastAsia="hr-HR"/>
        </w:rPr>
        <w:t>te će se ucrtati u Prostorni plan uređenja Općine Blato.</w:t>
      </w:r>
    </w:p>
    <w:p w:rsidR="00795BE3" w:rsidRPr="00E63D70" w:rsidRDefault="00795BE3" w:rsidP="00111B6B">
      <w:pPr>
        <w:spacing w:after="0" w:line="20" w:lineRule="atLeast"/>
        <w:jc w:val="both"/>
        <w:rPr>
          <w:rFonts w:ascii="Times New Roman" w:hAnsi="Times New Roman"/>
          <w:sz w:val="24"/>
          <w:szCs w:val="24"/>
          <w:lang w:eastAsia="hr-HR"/>
        </w:rPr>
      </w:pPr>
    </w:p>
    <w:p w:rsidR="00795BE3" w:rsidRPr="00E63D70" w:rsidRDefault="00795BE3" w:rsidP="00111B6B">
      <w:pPr>
        <w:shd w:val="clear" w:color="auto" w:fill="FFFFFF"/>
        <w:spacing w:after="0" w:line="20" w:lineRule="atLeast"/>
        <w:jc w:val="center"/>
        <w:rPr>
          <w:rFonts w:ascii="Times New Roman" w:hAnsi="Times New Roman"/>
          <w:b/>
          <w:sz w:val="24"/>
          <w:szCs w:val="24"/>
          <w:lang w:eastAsia="hr-HR"/>
        </w:rPr>
      </w:pPr>
      <w:r w:rsidRPr="00E63D70">
        <w:rPr>
          <w:rFonts w:ascii="Times New Roman" w:hAnsi="Times New Roman"/>
          <w:b/>
          <w:sz w:val="24"/>
          <w:szCs w:val="24"/>
          <w:lang w:eastAsia="hr-HR"/>
        </w:rPr>
        <w:t>Članak 3.</w:t>
      </w:r>
    </w:p>
    <w:p w:rsidR="00795BE3" w:rsidRPr="00E63D70" w:rsidRDefault="00795BE3" w:rsidP="00111B6B">
      <w:pPr>
        <w:shd w:val="clear" w:color="auto" w:fill="FFFFFF"/>
        <w:spacing w:after="0" w:line="20" w:lineRule="atLeast"/>
        <w:jc w:val="center"/>
        <w:rPr>
          <w:rFonts w:ascii="Times New Roman" w:hAnsi="Times New Roman"/>
          <w:b/>
          <w:sz w:val="24"/>
          <w:szCs w:val="24"/>
          <w:lang w:eastAsia="hr-HR"/>
        </w:rPr>
      </w:pPr>
    </w:p>
    <w:p w:rsidR="00795BE3" w:rsidRPr="00E63D70" w:rsidRDefault="00795BE3" w:rsidP="00111B6B">
      <w:pPr>
        <w:spacing w:after="0" w:line="20" w:lineRule="atLeast"/>
        <w:jc w:val="both"/>
        <w:rPr>
          <w:rFonts w:ascii="Times New Roman" w:hAnsi="Times New Roman"/>
          <w:sz w:val="24"/>
          <w:szCs w:val="24"/>
          <w:lang w:eastAsia="hr-HR"/>
        </w:rPr>
      </w:pPr>
      <w:r w:rsidRPr="00E63D70">
        <w:rPr>
          <w:rFonts w:ascii="Times New Roman" w:hAnsi="Times New Roman"/>
          <w:sz w:val="24"/>
          <w:szCs w:val="24"/>
          <w:lang w:eastAsia="hr-HR"/>
        </w:rPr>
        <w:t xml:space="preserve">Na predmetna dobra primjenjuje se Zakon o zaštiti i očuvanju kulturnih dobara i svi drugi propisi koji se odnose na kulturna dobra. </w:t>
      </w:r>
    </w:p>
    <w:p w:rsidR="00795BE3" w:rsidRPr="00E63D70" w:rsidRDefault="00795BE3" w:rsidP="00111B6B">
      <w:pPr>
        <w:shd w:val="clear" w:color="auto" w:fill="FFFFFF"/>
        <w:spacing w:after="0" w:line="20" w:lineRule="atLeast"/>
        <w:jc w:val="both"/>
        <w:rPr>
          <w:rFonts w:ascii="Times New Roman" w:hAnsi="Times New Roman"/>
          <w:sz w:val="24"/>
          <w:szCs w:val="24"/>
          <w:lang w:eastAsia="hr-HR"/>
        </w:rPr>
      </w:pPr>
    </w:p>
    <w:p w:rsidR="00795BE3" w:rsidRPr="00E63D70" w:rsidRDefault="00795BE3" w:rsidP="00111B6B">
      <w:pPr>
        <w:shd w:val="clear" w:color="auto" w:fill="FFFFFF"/>
        <w:spacing w:after="0" w:line="20" w:lineRule="atLeast"/>
        <w:jc w:val="both"/>
        <w:rPr>
          <w:rFonts w:ascii="Times New Roman" w:hAnsi="Times New Roman"/>
          <w:sz w:val="24"/>
          <w:szCs w:val="24"/>
          <w:lang w:eastAsia="hr-HR"/>
        </w:rPr>
      </w:pPr>
      <w:r w:rsidRPr="00E63D70">
        <w:rPr>
          <w:rFonts w:ascii="Times New Roman" w:hAnsi="Times New Roman"/>
          <w:sz w:val="24"/>
          <w:szCs w:val="24"/>
          <w:lang w:eastAsia="hr-HR"/>
        </w:rPr>
        <w:t>Predmetna dobra upisati će Ministarstvo kulture u Registar kulturnih dobara Republike Hrvatske, u evidenciju dobara od lokalnog značenja.</w:t>
      </w:r>
    </w:p>
    <w:p w:rsidR="00795BE3" w:rsidRPr="00E63D70" w:rsidRDefault="00795BE3" w:rsidP="00111B6B">
      <w:pPr>
        <w:shd w:val="clear" w:color="auto" w:fill="FFFFFF"/>
        <w:spacing w:after="0" w:line="20" w:lineRule="atLeast"/>
        <w:jc w:val="both"/>
        <w:rPr>
          <w:rFonts w:ascii="Times New Roman" w:hAnsi="Times New Roman"/>
          <w:sz w:val="24"/>
          <w:szCs w:val="24"/>
          <w:lang w:eastAsia="hr-HR"/>
        </w:rPr>
      </w:pPr>
    </w:p>
    <w:p w:rsidR="00795BE3" w:rsidRPr="00E63D70" w:rsidRDefault="00795BE3" w:rsidP="00111B6B">
      <w:pPr>
        <w:spacing w:after="0" w:line="20" w:lineRule="atLeast"/>
        <w:jc w:val="center"/>
        <w:outlineLvl w:val="3"/>
        <w:rPr>
          <w:rFonts w:ascii="Times New Roman" w:hAnsi="Times New Roman"/>
          <w:b/>
          <w:bCs/>
          <w:sz w:val="24"/>
          <w:szCs w:val="24"/>
          <w:lang w:eastAsia="hr-HR"/>
        </w:rPr>
      </w:pPr>
      <w:r w:rsidRPr="00E63D70">
        <w:rPr>
          <w:rFonts w:ascii="Times New Roman" w:hAnsi="Times New Roman"/>
          <w:b/>
          <w:bCs/>
          <w:sz w:val="24"/>
          <w:szCs w:val="24"/>
          <w:lang w:eastAsia="hr-HR"/>
        </w:rPr>
        <w:t>Članak 4.</w:t>
      </w:r>
    </w:p>
    <w:p w:rsidR="00795BE3" w:rsidRPr="00E63D70" w:rsidRDefault="00795BE3" w:rsidP="00111B6B">
      <w:pPr>
        <w:spacing w:after="0" w:line="20" w:lineRule="atLeast"/>
        <w:jc w:val="center"/>
        <w:outlineLvl w:val="3"/>
        <w:rPr>
          <w:rFonts w:ascii="Times New Roman" w:hAnsi="Times New Roman"/>
          <w:b/>
          <w:bCs/>
          <w:sz w:val="24"/>
          <w:szCs w:val="24"/>
          <w:lang w:eastAsia="hr-HR"/>
        </w:rPr>
      </w:pPr>
    </w:p>
    <w:p w:rsidR="00795BE3" w:rsidRPr="00E63D70" w:rsidRDefault="00795BE3" w:rsidP="00D346FF">
      <w:pPr>
        <w:spacing w:after="0" w:line="20" w:lineRule="atLeast"/>
        <w:jc w:val="both"/>
        <w:outlineLvl w:val="3"/>
        <w:rPr>
          <w:rFonts w:ascii="Times New Roman" w:hAnsi="Times New Roman"/>
          <w:sz w:val="24"/>
          <w:szCs w:val="24"/>
          <w:lang w:eastAsia="hr-HR"/>
        </w:rPr>
      </w:pPr>
      <w:r w:rsidRPr="00E63D70">
        <w:rPr>
          <w:rFonts w:ascii="Times New Roman" w:hAnsi="Times New Roman"/>
          <w:sz w:val="24"/>
          <w:szCs w:val="24"/>
          <w:lang w:eastAsia="hr-HR"/>
        </w:rPr>
        <w:t xml:space="preserve">U arheološkom parku se zabranjuje nova gradnja unutar </w:t>
      </w:r>
      <w:r w:rsidRPr="00E63D70">
        <w:rPr>
          <w:rFonts w:ascii="Times New Roman" w:hAnsi="Times New Roman"/>
          <w:bCs/>
          <w:sz w:val="24"/>
          <w:szCs w:val="24"/>
          <w:lang w:eastAsia="hr-HR"/>
        </w:rPr>
        <w:t>100 m od arheološkog nalazišta</w:t>
      </w:r>
      <w:r w:rsidRPr="00E63D70">
        <w:rPr>
          <w:rFonts w:ascii="Times New Roman" w:hAnsi="Times New Roman"/>
          <w:sz w:val="24"/>
          <w:szCs w:val="24"/>
          <w:lang w:eastAsia="hr-HR"/>
        </w:rPr>
        <w:t>, osim slijedećeg:</w:t>
      </w:r>
    </w:p>
    <w:p w:rsidR="00795BE3" w:rsidRPr="00E63D70" w:rsidRDefault="00795BE3" w:rsidP="00111B6B">
      <w:pPr>
        <w:numPr>
          <w:ilvl w:val="0"/>
          <w:numId w:val="12"/>
        </w:numPr>
        <w:spacing w:after="0" w:line="20" w:lineRule="atLeast"/>
        <w:outlineLvl w:val="3"/>
        <w:rPr>
          <w:rFonts w:ascii="Times New Roman" w:hAnsi="Times New Roman"/>
          <w:sz w:val="24"/>
          <w:szCs w:val="24"/>
          <w:lang w:eastAsia="hr-HR"/>
        </w:rPr>
      </w:pPr>
      <w:r w:rsidRPr="00E63D70">
        <w:rPr>
          <w:rFonts w:ascii="Times New Roman" w:hAnsi="Times New Roman"/>
          <w:sz w:val="24"/>
          <w:szCs w:val="24"/>
          <w:lang w:eastAsia="hr-HR"/>
        </w:rPr>
        <w:t>Pješačke/informacijske staze, interpretacijske ploče, edukativne platforme.</w:t>
      </w:r>
    </w:p>
    <w:p w:rsidR="00795BE3" w:rsidRPr="00E63D70" w:rsidRDefault="00795BE3" w:rsidP="00111B6B">
      <w:pPr>
        <w:numPr>
          <w:ilvl w:val="0"/>
          <w:numId w:val="12"/>
        </w:numPr>
        <w:spacing w:after="0" w:line="20" w:lineRule="atLeast"/>
        <w:jc w:val="both"/>
        <w:outlineLvl w:val="3"/>
        <w:rPr>
          <w:rFonts w:ascii="Times New Roman" w:hAnsi="Times New Roman"/>
          <w:sz w:val="24"/>
          <w:szCs w:val="24"/>
          <w:lang w:eastAsia="hr-HR"/>
        </w:rPr>
      </w:pPr>
      <w:r w:rsidRPr="00E63D70">
        <w:rPr>
          <w:rFonts w:ascii="Times New Roman" w:hAnsi="Times New Roman"/>
          <w:sz w:val="24"/>
          <w:szCs w:val="24"/>
          <w:lang w:eastAsia="hr-HR"/>
        </w:rPr>
        <w:t>Dozvoljavaju se do dvije građevine za interpretacijski/edukacijski centar, ukupne plohe ≤ 200 m² i visine ≤ 4 m, uz minimalno 60 % zelenila na građevnoj čestici.</w:t>
      </w:r>
    </w:p>
    <w:p w:rsidR="00795BE3" w:rsidRPr="00E63D70" w:rsidRDefault="00795BE3" w:rsidP="00111B6B">
      <w:pPr>
        <w:numPr>
          <w:ilvl w:val="0"/>
          <w:numId w:val="12"/>
        </w:numPr>
        <w:spacing w:after="0" w:line="20" w:lineRule="atLeast"/>
        <w:jc w:val="both"/>
        <w:outlineLvl w:val="3"/>
        <w:rPr>
          <w:rFonts w:ascii="Times New Roman" w:hAnsi="Times New Roman"/>
          <w:sz w:val="24"/>
          <w:szCs w:val="24"/>
          <w:lang w:eastAsia="hr-HR"/>
        </w:rPr>
      </w:pPr>
      <w:r w:rsidRPr="00E63D70">
        <w:rPr>
          <w:rFonts w:ascii="Times New Roman" w:hAnsi="Times New Roman"/>
          <w:sz w:val="24"/>
          <w:szCs w:val="24"/>
          <w:lang w:eastAsia="hr-HR"/>
        </w:rPr>
        <w:t>Dozvoljeno je prezentirati arheološke nalaze in situ, uz zaštitu i postavljanje informativnih sadržaja (panoi, info-punktovi).</w:t>
      </w:r>
    </w:p>
    <w:p w:rsidR="00795BE3" w:rsidRPr="00E63D70" w:rsidRDefault="00795BE3" w:rsidP="00111B6B">
      <w:pPr>
        <w:spacing w:after="0" w:line="20" w:lineRule="atLeast"/>
        <w:rPr>
          <w:rFonts w:ascii="Times New Roman" w:hAnsi="Times New Roman"/>
          <w:sz w:val="24"/>
          <w:szCs w:val="24"/>
          <w:lang w:eastAsia="hr-HR"/>
        </w:rPr>
      </w:pPr>
      <w:r w:rsidRPr="00E63D70">
        <w:rPr>
          <w:rFonts w:ascii="Times New Roman" w:hAnsi="Times New Roman"/>
          <w:sz w:val="24"/>
          <w:szCs w:val="24"/>
          <w:lang w:eastAsia="hr-HR"/>
        </w:rPr>
        <w:t xml:space="preserve"> </w:t>
      </w:r>
    </w:p>
    <w:p w:rsidR="00795BE3" w:rsidRPr="00E63D70" w:rsidRDefault="00795BE3" w:rsidP="00111B6B">
      <w:pPr>
        <w:spacing w:after="0" w:line="20" w:lineRule="atLeast"/>
        <w:jc w:val="center"/>
        <w:outlineLvl w:val="3"/>
        <w:rPr>
          <w:rFonts w:ascii="Times New Roman" w:hAnsi="Times New Roman"/>
          <w:b/>
          <w:bCs/>
          <w:sz w:val="24"/>
          <w:szCs w:val="24"/>
          <w:lang w:eastAsia="hr-HR"/>
        </w:rPr>
      </w:pPr>
      <w:r w:rsidRPr="00E63D70">
        <w:rPr>
          <w:rFonts w:ascii="Times New Roman" w:hAnsi="Times New Roman"/>
          <w:b/>
          <w:bCs/>
          <w:sz w:val="24"/>
          <w:szCs w:val="24"/>
          <w:lang w:eastAsia="hr-HR"/>
        </w:rPr>
        <w:t>Članak 5.</w:t>
      </w:r>
    </w:p>
    <w:p w:rsidR="00795BE3" w:rsidRPr="00E63D70" w:rsidRDefault="00795BE3" w:rsidP="00111B6B">
      <w:pPr>
        <w:spacing w:after="0" w:line="20" w:lineRule="atLeast"/>
        <w:jc w:val="center"/>
        <w:outlineLvl w:val="3"/>
        <w:rPr>
          <w:rFonts w:ascii="Times New Roman" w:hAnsi="Times New Roman"/>
          <w:b/>
          <w:bCs/>
          <w:sz w:val="24"/>
          <w:szCs w:val="24"/>
          <w:lang w:eastAsia="hr-HR"/>
        </w:rPr>
      </w:pPr>
    </w:p>
    <w:p w:rsidR="00795BE3" w:rsidRPr="00E63D70" w:rsidRDefault="00795BE3" w:rsidP="00111B6B">
      <w:pPr>
        <w:spacing w:after="0" w:line="20" w:lineRule="atLeast"/>
        <w:jc w:val="both"/>
        <w:rPr>
          <w:rFonts w:ascii="Times New Roman" w:hAnsi="Times New Roman"/>
          <w:sz w:val="24"/>
          <w:szCs w:val="24"/>
          <w:lang w:eastAsia="hr-HR"/>
        </w:rPr>
      </w:pPr>
      <w:r w:rsidRPr="00E63D70">
        <w:rPr>
          <w:rFonts w:ascii="Times New Roman" w:hAnsi="Times New Roman"/>
          <w:sz w:val="24"/>
          <w:szCs w:val="24"/>
          <w:lang w:eastAsia="hr-HR"/>
        </w:rPr>
        <w:t>Financiranje Arheološkog parka Kopila osigurava Općina Blato iz vlastitog proračuna, uz mogućnost sufinanciranja iz Ministarstva kulture i EU fondova, uključujući sredstva za redovito arheološko istraživanje i interpretaciju.</w:t>
      </w:r>
    </w:p>
    <w:p w:rsidR="00795BE3" w:rsidRPr="00E63D70" w:rsidRDefault="00795BE3" w:rsidP="00111B6B">
      <w:pPr>
        <w:spacing w:after="0" w:line="20" w:lineRule="atLeast"/>
        <w:outlineLvl w:val="3"/>
        <w:rPr>
          <w:rFonts w:ascii="Times New Roman" w:hAnsi="Times New Roman"/>
          <w:b/>
          <w:bCs/>
          <w:sz w:val="24"/>
          <w:szCs w:val="24"/>
          <w:lang w:eastAsia="hr-HR"/>
        </w:rPr>
      </w:pPr>
    </w:p>
    <w:p w:rsidR="00795BE3" w:rsidRPr="00E63D70" w:rsidRDefault="00795BE3" w:rsidP="00111B6B">
      <w:pPr>
        <w:shd w:val="clear" w:color="auto" w:fill="FFFFFF"/>
        <w:spacing w:after="0" w:line="20" w:lineRule="atLeast"/>
        <w:jc w:val="center"/>
        <w:rPr>
          <w:rFonts w:ascii="Times New Roman" w:hAnsi="Times New Roman"/>
          <w:b/>
          <w:sz w:val="24"/>
          <w:szCs w:val="24"/>
          <w:lang w:eastAsia="hr-HR"/>
        </w:rPr>
      </w:pPr>
      <w:r w:rsidRPr="00E63D70">
        <w:rPr>
          <w:rFonts w:ascii="Times New Roman" w:hAnsi="Times New Roman"/>
          <w:b/>
          <w:sz w:val="24"/>
          <w:szCs w:val="24"/>
          <w:lang w:eastAsia="hr-HR"/>
        </w:rPr>
        <w:t>Članak 6.</w:t>
      </w:r>
    </w:p>
    <w:p w:rsidR="00795BE3" w:rsidRPr="00E63D70" w:rsidRDefault="00795BE3" w:rsidP="00111B6B">
      <w:pPr>
        <w:shd w:val="clear" w:color="auto" w:fill="FFFFFF"/>
        <w:spacing w:after="0" w:line="20" w:lineRule="atLeast"/>
        <w:jc w:val="center"/>
        <w:rPr>
          <w:rFonts w:ascii="Times New Roman" w:hAnsi="Times New Roman"/>
          <w:b/>
          <w:sz w:val="24"/>
          <w:szCs w:val="24"/>
          <w:lang w:eastAsia="hr-HR"/>
        </w:rPr>
      </w:pPr>
    </w:p>
    <w:p w:rsidR="00795BE3" w:rsidRPr="00E63D70" w:rsidRDefault="00795BE3" w:rsidP="00111B6B">
      <w:pPr>
        <w:shd w:val="clear" w:color="auto" w:fill="FFFFFF"/>
        <w:spacing w:after="0" w:line="20" w:lineRule="atLeast"/>
        <w:jc w:val="both"/>
        <w:rPr>
          <w:rFonts w:ascii="Times New Roman" w:hAnsi="Times New Roman"/>
          <w:sz w:val="24"/>
          <w:szCs w:val="24"/>
          <w:lang w:eastAsia="hr-HR"/>
        </w:rPr>
      </w:pPr>
      <w:r w:rsidRPr="00E63D70">
        <w:rPr>
          <w:rFonts w:ascii="Times New Roman" w:hAnsi="Times New Roman"/>
          <w:sz w:val="24"/>
          <w:szCs w:val="24"/>
          <w:lang w:eastAsia="hr-HR"/>
        </w:rPr>
        <w:t>Za provedbu ove Odluke zadužuje se Odjeljak za društvene djelatnosti Općine Blato.</w:t>
      </w:r>
    </w:p>
    <w:p w:rsidR="00795BE3" w:rsidRPr="00E63D70" w:rsidRDefault="00795BE3" w:rsidP="00111B6B">
      <w:pPr>
        <w:shd w:val="clear" w:color="auto" w:fill="FFFFFF"/>
        <w:spacing w:after="0" w:line="20" w:lineRule="atLeast"/>
        <w:jc w:val="both"/>
        <w:rPr>
          <w:rFonts w:ascii="Times New Roman" w:hAnsi="Times New Roman"/>
          <w:sz w:val="24"/>
          <w:szCs w:val="24"/>
          <w:lang w:eastAsia="hr-HR"/>
        </w:rPr>
      </w:pPr>
    </w:p>
    <w:p w:rsidR="00795BE3" w:rsidRPr="00E63D70" w:rsidRDefault="00795BE3" w:rsidP="00111B6B">
      <w:pPr>
        <w:shd w:val="clear" w:color="auto" w:fill="FFFFFF"/>
        <w:spacing w:after="0" w:line="20" w:lineRule="atLeast"/>
        <w:jc w:val="center"/>
        <w:rPr>
          <w:rFonts w:ascii="Times New Roman" w:hAnsi="Times New Roman"/>
          <w:b/>
          <w:sz w:val="24"/>
          <w:szCs w:val="24"/>
          <w:lang w:eastAsia="hr-HR"/>
        </w:rPr>
      </w:pPr>
      <w:r w:rsidRPr="00E63D70">
        <w:rPr>
          <w:rFonts w:ascii="Times New Roman" w:hAnsi="Times New Roman"/>
          <w:b/>
          <w:sz w:val="24"/>
          <w:szCs w:val="24"/>
          <w:lang w:eastAsia="hr-HR"/>
        </w:rPr>
        <w:t>Članak 7.</w:t>
      </w:r>
    </w:p>
    <w:p w:rsidR="00795BE3" w:rsidRPr="00E63D70" w:rsidRDefault="00795BE3" w:rsidP="00111B6B">
      <w:pPr>
        <w:shd w:val="clear" w:color="auto" w:fill="FFFFFF"/>
        <w:spacing w:after="0" w:line="20" w:lineRule="atLeast"/>
        <w:jc w:val="center"/>
        <w:rPr>
          <w:rFonts w:ascii="Times New Roman" w:hAnsi="Times New Roman"/>
          <w:b/>
          <w:sz w:val="24"/>
          <w:szCs w:val="24"/>
          <w:lang w:eastAsia="hr-HR"/>
        </w:rPr>
      </w:pPr>
    </w:p>
    <w:p w:rsidR="00795BE3" w:rsidRPr="00BD2A2D" w:rsidRDefault="00795BE3" w:rsidP="00BD2A2D">
      <w:pPr>
        <w:spacing w:after="0" w:line="20" w:lineRule="atLeast"/>
        <w:jc w:val="both"/>
        <w:rPr>
          <w:rFonts w:ascii="Times New Roman" w:hAnsi="Times New Roman"/>
          <w:sz w:val="24"/>
          <w:szCs w:val="24"/>
        </w:rPr>
      </w:pPr>
      <w:r w:rsidRPr="00BD2A2D">
        <w:rPr>
          <w:rFonts w:ascii="Times New Roman" w:hAnsi="Times New Roman"/>
          <w:sz w:val="24"/>
          <w:szCs w:val="24"/>
        </w:rPr>
        <w:t>Ova Odluka stupa na snagu osmog dana od dana objave u «Službenom glasniku Općine Blato».</w:t>
      </w:r>
    </w:p>
    <w:p w:rsidR="00795BE3" w:rsidRPr="00BD2A2D" w:rsidRDefault="00795BE3" w:rsidP="00BD2A2D">
      <w:pPr>
        <w:spacing w:after="0" w:line="20" w:lineRule="atLeast"/>
        <w:jc w:val="both"/>
        <w:rPr>
          <w:rFonts w:ascii="Times New Roman" w:hAnsi="Times New Roman"/>
          <w:sz w:val="24"/>
          <w:szCs w:val="24"/>
        </w:rPr>
      </w:pPr>
    </w:p>
    <w:p w:rsidR="00795BE3" w:rsidRPr="00BD2A2D" w:rsidRDefault="00795BE3" w:rsidP="00BD2A2D">
      <w:pPr>
        <w:spacing w:after="0" w:line="20" w:lineRule="atLeast"/>
        <w:jc w:val="both"/>
        <w:rPr>
          <w:rFonts w:ascii="Times New Roman" w:hAnsi="Times New Roman"/>
          <w:sz w:val="24"/>
          <w:szCs w:val="24"/>
        </w:rPr>
      </w:pPr>
    </w:p>
    <w:p w:rsidR="00795BE3" w:rsidRPr="00BD2A2D" w:rsidRDefault="00795BE3" w:rsidP="00BD2A2D">
      <w:pPr>
        <w:spacing w:after="0" w:line="20" w:lineRule="atLeast"/>
        <w:rPr>
          <w:rFonts w:ascii="Times New Roman" w:hAnsi="Times New Roman"/>
          <w:sz w:val="24"/>
          <w:szCs w:val="24"/>
        </w:rPr>
      </w:pPr>
      <w:r w:rsidRPr="00BD2A2D">
        <w:rPr>
          <w:rFonts w:ascii="Times New Roman" w:hAnsi="Times New Roman"/>
          <w:sz w:val="24"/>
          <w:szCs w:val="24"/>
          <w:lang w:val="it-IT"/>
        </w:rPr>
        <w:t>KLASA</w:t>
      </w:r>
      <w:r w:rsidRPr="00BD2A2D">
        <w:rPr>
          <w:rFonts w:ascii="Times New Roman" w:hAnsi="Times New Roman"/>
          <w:sz w:val="24"/>
          <w:szCs w:val="24"/>
        </w:rPr>
        <w:t xml:space="preserve">: </w:t>
      </w:r>
    </w:p>
    <w:p w:rsidR="00795BE3" w:rsidRPr="00BD2A2D" w:rsidRDefault="00795BE3" w:rsidP="00BD2A2D">
      <w:pPr>
        <w:spacing w:after="0" w:line="20" w:lineRule="atLeast"/>
        <w:rPr>
          <w:rFonts w:ascii="Times New Roman" w:hAnsi="Times New Roman"/>
          <w:sz w:val="24"/>
          <w:szCs w:val="24"/>
        </w:rPr>
      </w:pPr>
      <w:r w:rsidRPr="00BD2A2D">
        <w:rPr>
          <w:rFonts w:ascii="Times New Roman" w:hAnsi="Times New Roman"/>
          <w:sz w:val="24"/>
          <w:szCs w:val="24"/>
          <w:lang w:val="it-IT"/>
        </w:rPr>
        <w:t>URBROJ</w:t>
      </w:r>
      <w:r w:rsidRPr="00BD2A2D">
        <w:rPr>
          <w:rFonts w:ascii="Times New Roman" w:hAnsi="Times New Roman"/>
          <w:sz w:val="24"/>
          <w:szCs w:val="24"/>
        </w:rPr>
        <w:t xml:space="preserve">: </w:t>
      </w:r>
    </w:p>
    <w:p w:rsidR="00795BE3" w:rsidRPr="00BD2A2D" w:rsidRDefault="00795BE3" w:rsidP="00BD2A2D">
      <w:pPr>
        <w:spacing w:after="0" w:line="20" w:lineRule="atLeast"/>
        <w:rPr>
          <w:rFonts w:ascii="Times New Roman" w:hAnsi="Times New Roman"/>
          <w:sz w:val="24"/>
          <w:szCs w:val="24"/>
        </w:rPr>
      </w:pPr>
      <w:r w:rsidRPr="00BD2A2D">
        <w:rPr>
          <w:rFonts w:ascii="Times New Roman" w:hAnsi="Times New Roman"/>
          <w:sz w:val="24"/>
          <w:szCs w:val="24"/>
          <w:lang w:val="it-IT"/>
        </w:rPr>
        <w:t>Blato</w:t>
      </w:r>
      <w:r w:rsidRPr="00BD2A2D">
        <w:rPr>
          <w:rFonts w:ascii="Times New Roman" w:hAnsi="Times New Roman"/>
          <w:sz w:val="24"/>
          <w:szCs w:val="24"/>
        </w:rPr>
        <w:t xml:space="preserve">, ………………  2025. </w:t>
      </w:r>
      <w:r w:rsidRPr="00BD2A2D">
        <w:rPr>
          <w:rFonts w:ascii="Times New Roman" w:hAnsi="Times New Roman"/>
          <w:sz w:val="24"/>
          <w:szCs w:val="24"/>
          <w:lang w:val="it-IT"/>
        </w:rPr>
        <w:t>godine</w:t>
      </w:r>
    </w:p>
    <w:p w:rsidR="00795BE3" w:rsidRPr="00BD2A2D" w:rsidRDefault="00795BE3" w:rsidP="00BD2A2D">
      <w:pPr>
        <w:spacing w:after="0" w:line="20" w:lineRule="atLeast"/>
        <w:jc w:val="right"/>
        <w:rPr>
          <w:rFonts w:ascii="Times New Roman" w:hAnsi="Times New Roman"/>
          <w:sz w:val="24"/>
          <w:szCs w:val="24"/>
        </w:rPr>
      </w:pPr>
    </w:p>
    <w:p w:rsidR="00795BE3" w:rsidRPr="00BD2A2D" w:rsidRDefault="00795BE3" w:rsidP="00BD2A2D">
      <w:pPr>
        <w:spacing w:after="0" w:line="20" w:lineRule="atLeast"/>
        <w:jc w:val="right"/>
        <w:rPr>
          <w:rFonts w:ascii="Times New Roman" w:hAnsi="Times New Roman"/>
          <w:sz w:val="24"/>
          <w:szCs w:val="24"/>
        </w:rPr>
      </w:pPr>
      <w:r w:rsidRPr="00BD2A2D">
        <w:rPr>
          <w:rFonts w:ascii="Times New Roman" w:hAnsi="Times New Roman"/>
          <w:sz w:val="24"/>
          <w:szCs w:val="24"/>
        </w:rPr>
        <w:t>OPĆINSKO VIJEĆE</w:t>
      </w:r>
    </w:p>
    <w:p w:rsidR="00795BE3" w:rsidRPr="00BD2A2D" w:rsidRDefault="00795BE3" w:rsidP="00BD2A2D">
      <w:pPr>
        <w:spacing w:after="0" w:line="20" w:lineRule="atLeast"/>
        <w:jc w:val="right"/>
        <w:rPr>
          <w:rFonts w:ascii="Times New Roman" w:hAnsi="Times New Roman"/>
          <w:sz w:val="24"/>
          <w:szCs w:val="24"/>
        </w:rPr>
      </w:pPr>
      <w:r w:rsidRPr="00BD2A2D">
        <w:rPr>
          <w:rFonts w:ascii="Times New Roman" w:hAnsi="Times New Roman"/>
          <w:sz w:val="24"/>
          <w:szCs w:val="24"/>
        </w:rPr>
        <w:t>Predsjednik:</w:t>
      </w:r>
    </w:p>
    <w:p w:rsidR="00795BE3" w:rsidRPr="00BD2A2D" w:rsidRDefault="00795BE3" w:rsidP="00BD2A2D">
      <w:pPr>
        <w:spacing w:after="0" w:line="20" w:lineRule="atLeast"/>
        <w:jc w:val="right"/>
        <w:rPr>
          <w:rFonts w:ascii="Times New Roman" w:hAnsi="Times New Roman"/>
          <w:sz w:val="24"/>
          <w:szCs w:val="24"/>
        </w:rPr>
      </w:pPr>
      <w:r w:rsidRPr="00BD2A2D">
        <w:rPr>
          <w:rFonts w:ascii="Times New Roman" w:hAnsi="Times New Roman"/>
          <w:sz w:val="24"/>
          <w:szCs w:val="24"/>
        </w:rPr>
        <w:t>Franciska Jurišić Bačić, mag.bibl., v.r.</w:t>
      </w:r>
    </w:p>
    <w:p w:rsidR="00795BE3" w:rsidRPr="00BD2A2D" w:rsidRDefault="00795BE3" w:rsidP="00BD2A2D">
      <w:pPr>
        <w:spacing w:after="0" w:line="20" w:lineRule="atLeast"/>
        <w:jc w:val="center"/>
        <w:rPr>
          <w:rFonts w:ascii="Times New Roman" w:hAnsi="Times New Roman"/>
          <w:sz w:val="24"/>
          <w:szCs w:val="24"/>
        </w:rPr>
      </w:pPr>
    </w:p>
    <w:p w:rsidR="00795BE3" w:rsidRPr="00BD2A2D" w:rsidRDefault="00795BE3" w:rsidP="00BD2A2D">
      <w:pPr>
        <w:shd w:val="clear" w:color="auto" w:fill="FFFFFF"/>
        <w:spacing w:after="0" w:line="20" w:lineRule="atLeast"/>
        <w:jc w:val="both"/>
        <w:rPr>
          <w:rFonts w:ascii="Times New Roman" w:hAnsi="Times New Roman"/>
          <w:sz w:val="24"/>
          <w:szCs w:val="24"/>
          <w:lang w:eastAsia="hr-HR"/>
        </w:rPr>
      </w:pPr>
    </w:p>
    <w:p w:rsidR="00795BE3" w:rsidRPr="00BD2A2D" w:rsidRDefault="00795BE3" w:rsidP="00BD2A2D">
      <w:pPr>
        <w:shd w:val="clear" w:color="auto" w:fill="FFFFFF"/>
        <w:spacing w:after="0" w:line="20" w:lineRule="atLeast"/>
        <w:jc w:val="both"/>
        <w:rPr>
          <w:rFonts w:ascii="Times New Roman" w:hAnsi="Times New Roman"/>
          <w:sz w:val="24"/>
          <w:szCs w:val="24"/>
          <w:lang w:eastAsia="hr-HR"/>
        </w:rPr>
      </w:pPr>
    </w:p>
    <w:p w:rsidR="00795BE3" w:rsidRPr="00E63D70" w:rsidRDefault="00795BE3" w:rsidP="00111B6B">
      <w:pPr>
        <w:pStyle w:val="Heading2"/>
        <w:spacing w:before="0" w:beforeAutospacing="0" w:after="0" w:afterAutospacing="0" w:line="20" w:lineRule="atLeast"/>
        <w:rPr>
          <w:color w:val="0070C0"/>
          <w:sz w:val="24"/>
          <w:szCs w:val="24"/>
        </w:rPr>
      </w:pPr>
    </w:p>
    <w:p w:rsidR="00795BE3" w:rsidRPr="00E63D70" w:rsidRDefault="00795BE3" w:rsidP="00111B6B">
      <w:pPr>
        <w:pStyle w:val="Heading2"/>
        <w:spacing w:before="0" w:beforeAutospacing="0" w:after="0" w:afterAutospacing="0" w:line="20" w:lineRule="atLeast"/>
        <w:rPr>
          <w:color w:val="0070C0"/>
          <w:sz w:val="24"/>
          <w:szCs w:val="24"/>
        </w:rPr>
      </w:pPr>
    </w:p>
    <w:p w:rsidR="00795BE3" w:rsidRPr="00E63D70" w:rsidRDefault="00795BE3" w:rsidP="00111B6B">
      <w:pPr>
        <w:pStyle w:val="Heading2"/>
        <w:spacing w:before="0" w:beforeAutospacing="0" w:after="0" w:afterAutospacing="0" w:line="20" w:lineRule="atLeast"/>
        <w:rPr>
          <w:color w:val="0070C0"/>
          <w:sz w:val="24"/>
          <w:szCs w:val="24"/>
        </w:rPr>
      </w:pPr>
    </w:p>
    <w:p w:rsidR="00795BE3" w:rsidRPr="00E63D70" w:rsidRDefault="00795BE3" w:rsidP="00111B6B">
      <w:pPr>
        <w:pStyle w:val="Heading2"/>
        <w:spacing w:before="0" w:beforeAutospacing="0" w:after="0" w:afterAutospacing="0" w:line="20" w:lineRule="atLeast"/>
        <w:rPr>
          <w:color w:val="0070C0"/>
          <w:sz w:val="24"/>
          <w:szCs w:val="24"/>
        </w:rPr>
      </w:pPr>
    </w:p>
    <w:p w:rsidR="00795BE3" w:rsidRPr="00E63D70" w:rsidRDefault="00795BE3" w:rsidP="00111B6B">
      <w:pPr>
        <w:pStyle w:val="Heading2"/>
        <w:spacing w:before="0" w:beforeAutospacing="0" w:after="0" w:afterAutospacing="0" w:line="20" w:lineRule="atLeast"/>
        <w:rPr>
          <w:color w:val="0070C0"/>
          <w:sz w:val="24"/>
          <w:szCs w:val="24"/>
        </w:rPr>
      </w:pPr>
    </w:p>
    <w:p w:rsidR="00795BE3" w:rsidRPr="00E63D70" w:rsidRDefault="00795BE3" w:rsidP="00111B6B">
      <w:pPr>
        <w:pStyle w:val="Heading2"/>
        <w:spacing w:before="0" w:beforeAutospacing="0" w:after="0" w:afterAutospacing="0" w:line="20" w:lineRule="atLeast"/>
        <w:rPr>
          <w:color w:val="0070C0"/>
          <w:sz w:val="24"/>
          <w:szCs w:val="24"/>
        </w:rPr>
      </w:pPr>
    </w:p>
    <w:p w:rsidR="00795BE3" w:rsidRPr="00E63D70" w:rsidRDefault="00795BE3" w:rsidP="00111B6B">
      <w:pPr>
        <w:pStyle w:val="Heading2"/>
        <w:spacing w:before="0" w:beforeAutospacing="0" w:after="0" w:afterAutospacing="0" w:line="20" w:lineRule="atLeast"/>
        <w:rPr>
          <w:color w:val="0070C0"/>
          <w:sz w:val="24"/>
          <w:szCs w:val="24"/>
        </w:rPr>
      </w:pPr>
    </w:p>
    <w:p w:rsidR="00795BE3" w:rsidRPr="00E63D70" w:rsidRDefault="00795BE3" w:rsidP="00111B6B">
      <w:pPr>
        <w:pStyle w:val="Heading2"/>
        <w:spacing w:before="0" w:beforeAutospacing="0" w:after="0" w:afterAutospacing="0" w:line="20" w:lineRule="atLeast"/>
        <w:rPr>
          <w:color w:val="0070C0"/>
          <w:sz w:val="24"/>
          <w:szCs w:val="24"/>
        </w:rPr>
      </w:pPr>
    </w:p>
    <w:p w:rsidR="00795BE3" w:rsidRPr="00E63D70" w:rsidRDefault="00795BE3" w:rsidP="00111B6B">
      <w:pPr>
        <w:pStyle w:val="Heading2"/>
        <w:spacing w:before="0" w:beforeAutospacing="0" w:after="0" w:afterAutospacing="0" w:line="20" w:lineRule="atLeast"/>
        <w:rPr>
          <w:color w:val="0070C0"/>
          <w:sz w:val="24"/>
          <w:szCs w:val="24"/>
        </w:rPr>
      </w:pPr>
    </w:p>
    <w:p w:rsidR="00795BE3" w:rsidRPr="00E63D70" w:rsidRDefault="00795BE3" w:rsidP="00111B6B">
      <w:pPr>
        <w:pStyle w:val="Heading2"/>
        <w:spacing w:before="0" w:beforeAutospacing="0" w:after="0" w:afterAutospacing="0" w:line="20" w:lineRule="atLeast"/>
        <w:rPr>
          <w:color w:val="0070C0"/>
          <w:sz w:val="24"/>
          <w:szCs w:val="24"/>
        </w:rPr>
      </w:pPr>
    </w:p>
    <w:p w:rsidR="00795BE3" w:rsidRPr="00E63D70" w:rsidRDefault="00795BE3" w:rsidP="00111B6B">
      <w:pPr>
        <w:pStyle w:val="Heading2"/>
        <w:spacing w:before="0" w:beforeAutospacing="0" w:after="0" w:afterAutospacing="0" w:line="20" w:lineRule="atLeast"/>
        <w:rPr>
          <w:color w:val="0070C0"/>
          <w:sz w:val="24"/>
          <w:szCs w:val="24"/>
        </w:rPr>
      </w:pPr>
    </w:p>
    <w:p w:rsidR="00795BE3" w:rsidRPr="00E63D70" w:rsidRDefault="00795BE3" w:rsidP="00111B6B">
      <w:pPr>
        <w:pStyle w:val="Heading2"/>
        <w:spacing w:before="0" w:beforeAutospacing="0" w:after="0" w:afterAutospacing="0" w:line="20" w:lineRule="atLeast"/>
        <w:rPr>
          <w:color w:val="0070C0"/>
          <w:sz w:val="24"/>
          <w:szCs w:val="24"/>
        </w:rPr>
      </w:pPr>
    </w:p>
    <w:p w:rsidR="00795BE3" w:rsidRPr="00E63D70" w:rsidRDefault="00795BE3" w:rsidP="00111B6B">
      <w:pPr>
        <w:pStyle w:val="Heading2"/>
        <w:spacing w:before="0" w:beforeAutospacing="0" w:after="0" w:afterAutospacing="0" w:line="20" w:lineRule="atLeast"/>
        <w:rPr>
          <w:color w:val="0070C0"/>
          <w:sz w:val="24"/>
          <w:szCs w:val="24"/>
        </w:rPr>
      </w:pPr>
    </w:p>
    <w:p w:rsidR="00795BE3" w:rsidRPr="00E63D70" w:rsidRDefault="00795BE3" w:rsidP="00111B6B">
      <w:pPr>
        <w:pStyle w:val="Heading2"/>
        <w:spacing w:before="0" w:beforeAutospacing="0" w:after="0" w:afterAutospacing="0" w:line="20" w:lineRule="atLeast"/>
        <w:rPr>
          <w:color w:val="0070C0"/>
          <w:sz w:val="24"/>
          <w:szCs w:val="24"/>
        </w:rPr>
      </w:pPr>
    </w:p>
    <w:p w:rsidR="00795BE3" w:rsidRPr="00E63D70" w:rsidRDefault="00795BE3" w:rsidP="00111B6B">
      <w:pPr>
        <w:pStyle w:val="Heading2"/>
        <w:spacing w:before="0" w:beforeAutospacing="0" w:after="0" w:afterAutospacing="0" w:line="20" w:lineRule="atLeast"/>
        <w:rPr>
          <w:color w:val="0070C0"/>
          <w:sz w:val="24"/>
          <w:szCs w:val="24"/>
        </w:rPr>
      </w:pPr>
    </w:p>
    <w:p w:rsidR="00795BE3" w:rsidRPr="00E63D70" w:rsidRDefault="00795BE3" w:rsidP="00111B6B">
      <w:pPr>
        <w:pStyle w:val="Heading2"/>
        <w:spacing w:before="0" w:beforeAutospacing="0" w:after="0" w:afterAutospacing="0" w:line="20" w:lineRule="atLeast"/>
        <w:rPr>
          <w:color w:val="0070C0"/>
          <w:sz w:val="24"/>
          <w:szCs w:val="24"/>
        </w:rPr>
      </w:pPr>
    </w:p>
    <w:p w:rsidR="00795BE3" w:rsidRPr="00E63D70" w:rsidRDefault="00795BE3" w:rsidP="00111B6B">
      <w:pPr>
        <w:pStyle w:val="Heading2"/>
        <w:spacing w:before="0" w:beforeAutospacing="0" w:after="0" w:afterAutospacing="0" w:line="20" w:lineRule="atLeast"/>
        <w:rPr>
          <w:color w:val="0070C0"/>
          <w:sz w:val="24"/>
          <w:szCs w:val="24"/>
        </w:rPr>
      </w:pPr>
    </w:p>
    <w:p w:rsidR="00795BE3" w:rsidRPr="00E63D70" w:rsidRDefault="00795BE3" w:rsidP="004722D0">
      <w:pPr>
        <w:pStyle w:val="Heading2"/>
        <w:spacing w:before="0" w:beforeAutospacing="0" w:after="0" w:afterAutospacing="0" w:line="20" w:lineRule="atLeast"/>
        <w:jc w:val="center"/>
        <w:rPr>
          <w:b w:val="0"/>
          <w:sz w:val="24"/>
          <w:szCs w:val="24"/>
        </w:rPr>
      </w:pPr>
      <w:r w:rsidRPr="00E63D70">
        <w:rPr>
          <w:b w:val="0"/>
          <w:sz w:val="24"/>
          <w:szCs w:val="24"/>
        </w:rPr>
        <w:t>OBRAZLOŽENJE</w:t>
      </w:r>
    </w:p>
    <w:p w:rsidR="00795BE3" w:rsidRPr="00E63D70" w:rsidRDefault="00795BE3" w:rsidP="004722D0">
      <w:pPr>
        <w:pStyle w:val="Heading2"/>
        <w:spacing w:before="0" w:beforeAutospacing="0" w:after="0" w:afterAutospacing="0" w:line="20" w:lineRule="atLeast"/>
        <w:rPr>
          <w:b w:val="0"/>
          <w:sz w:val="24"/>
          <w:szCs w:val="24"/>
        </w:rPr>
      </w:pPr>
    </w:p>
    <w:p w:rsidR="00795BE3" w:rsidRPr="00E63D70" w:rsidRDefault="00795BE3" w:rsidP="004722D0">
      <w:pPr>
        <w:spacing w:after="0" w:line="20" w:lineRule="atLeast"/>
        <w:jc w:val="both"/>
        <w:textAlignment w:val="baseline"/>
        <w:rPr>
          <w:rFonts w:ascii="Times New Roman" w:hAnsi="Times New Roman"/>
          <w:sz w:val="24"/>
          <w:szCs w:val="24"/>
        </w:rPr>
      </w:pPr>
      <w:r w:rsidRPr="00E63D70">
        <w:rPr>
          <w:rFonts w:ascii="Times New Roman" w:hAnsi="Times New Roman"/>
          <w:sz w:val="24"/>
          <w:szCs w:val="24"/>
        </w:rPr>
        <w:t xml:space="preserve">Na temelju članka 16. Zakona o zaštiti i očuvanju kulturnih dobara (»Narodne novine« broj 69/99, 151/03, 157/03, 87/09, 88/10, 61/11, 25/12, 157/13 i 152/14), ministar kulture Republike Hrvatske je dao Izvod iz Registra kulturnih dobara Republike Hrvatske broj 03/2015.– List zaštićenih kulturnih dobara </w:t>
      </w:r>
      <w:r w:rsidRPr="00E63D70">
        <w:rPr>
          <w:rFonts w:ascii="Times New Roman" w:hAnsi="Times New Roman"/>
          <w:bCs/>
          <w:sz w:val="24"/>
          <w:szCs w:val="24"/>
        </w:rPr>
        <w:t>(NN 121/2015 od 4.11.2015.)</w:t>
      </w:r>
      <w:r w:rsidRPr="00E63D70">
        <w:rPr>
          <w:rFonts w:ascii="Times New Roman" w:hAnsi="Times New Roman"/>
          <w:sz w:val="24"/>
          <w:szCs w:val="24"/>
        </w:rPr>
        <w:t>.</w:t>
      </w:r>
    </w:p>
    <w:p w:rsidR="00795BE3" w:rsidRPr="00E63D70" w:rsidRDefault="00795BE3" w:rsidP="004722D0">
      <w:pPr>
        <w:spacing w:after="0" w:line="20" w:lineRule="atLeast"/>
        <w:jc w:val="both"/>
        <w:textAlignment w:val="baseline"/>
        <w:rPr>
          <w:rFonts w:ascii="Times New Roman" w:hAnsi="Times New Roman"/>
          <w:sz w:val="24"/>
          <w:szCs w:val="24"/>
        </w:rPr>
      </w:pPr>
    </w:p>
    <w:p w:rsidR="00795BE3" w:rsidRPr="00E63D70" w:rsidRDefault="00795BE3" w:rsidP="004722D0">
      <w:pPr>
        <w:spacing w:after="0" w:line="20" w:lineRule="atLeast"/>
        <w:jc w:val="both"/>
        <w:textAlignment w:val="baseline"/>
        <w:rPr>
          <w:rFonts w:ascii="Times New Roman" w:hAnsi="Times New Roman"/>
          <w:sz w:val="24"/>
          <w:szCs w:val="24"/>
        </w:rPr>
      </w:pPr>
      <w:r w:rsidRPr="00E63D70">
        <w:rPr>
          <w:rFonts w:ascii="Times New Roman" w:hAnsi="Times New Roman"/>
          <w:sz w:val="24"/>
          <w:szCs w:val="24"/>
        </w:rPr>
        <w:t>Arheološka zona Kopila (Općina Blato, k.o. Blato)</w:t>
      </w:r>
    </w:p>
    <w:p w:rsidR="00795BE3" w:rsidRPr="00E63D70" w:rsidRDefault="00795BE3" w:rsidP="004722D0">
      <w:pPr>
        <w:spacing w:after="0" w:line="20" w:lineRule="atLeast"/>
        <w:jc w:val="both"/>
        <w:textAlignment w:val="baseline"/>
        <w:rPr>
          <w:rFonts w:ascii="Times New Roman" w:hAnsi="Times New Roman"/>
          <w:sz w:val="24"/>
          <w:szCs w:val="24"/>
        </w:rPr>
      </w:pPr>
      <w:r w:rsidRPr="00E63D70">
        <w:rPr>
          <w:rFonts w:ascii="Times New Roman" w:hAnsi="Times New Roman"/>
          <w:sz w:val="24"/>
          <w:szCs w:val="24"/>
        </w:rPr>
        <w:t>Broj registra: Z-6585</w:t>
      </w:r>
    </w:p>
    <w:p w:rsidR="00795BE3" w:rsidRPr="00E63D70" w:rsidRDefault="00795BE3" w:rsidP="004722D0">
      <w:pPr>
        <w:spacing w:after="0" w:line="20" w:lineRule="atLeast"/>
        <w:jc w:val="both"/>
        <w:textAlignment w:val="baseline"/>
        <w:rPr>
          <w:rFonts w:ascii="Times New Roman" w:hAnsi="Times New Roman"/>
          <w:sz w:val="24"/>
          <w:szCs w:val="24"/>
        </w:rPr>
      </w:pPr>
      <w:r w:rsidRPr="00E63D70">
        <w:rPr>
          <w:rFonts w:ascii="Times New Roman" w:hAnsi="Times New Roman"/>
          <w:sz w:val="24"/>
          <w:szCs w:val="24"/>
        </w:rPr>
        <w:t>Rješenje Klasa: UP/I-612-08/15-06/0155; Urbroj: 532-04-01-03-02/2-15-1; od 21.08.2015.</w:t>
      </w:r>
    </w:p>
    <w:p w:rsidR="00795BE3" w:rsidRPr="00E63D70" w:rsidRDefault="00795BE3" w:rsidP="004722D0">
      <w:pPr>
        <w:spacing w:after="0" w:line="20" w:lineRule="atLeast"/>
        <w:jc w:val="both"/>
        <w:textAlignment w:val="baseline"/>
        <w:rPr>
          <w:rFonts w:ascii="Times New Roman" w:hAnsi="Times New Roman"/>
          <w:sz w:val="24"/>
          <w:szCs w:val="24"/>
        </w:rPr>
      </w:pPr>
    </w:p>
    <w:p w:rsidR="00795BE3" w:rsidRPr="00E63D70" w:rsidRDefault="00795BE3" w:rsidP="004722D0">
      <w:pPr>
        <w:spacing w:after="0" w:line="20" w:lineRule="atLeast"/>
        <w:jc w:val="both"/>
        <w:textAlignment w:val="baseline"/>
        <w:rPr>
          <w:rFonts w:ascii="Times New Roman" w:hAnsi="Times New Roman"/>
          <w:sz w:val="24"/>
          <w:szCs w:val="24"/>
        </w:rPr>
      </w:pPr>
      <w:r w:rsidRPr="00E63D70">
        <w:rPr>
          <w:rFonts w:ascii="Times New Roman" w:hAnsi="Times New Roman"/>
          <w:sz w:val="24"/>
          <w:szCs w:val="24"/>
        </w:rPr>
        <w:t>Zona A (potpuna zaštita arheoloških struktura) obuhvaća sljedeće katastarske čestice:</w:t>
      </w:r>
    </w:p>
    <w:p w:rsidR="00795BE3" w:rsidRPr="00E63D70" w:rsidRDefault="00795BE3" w:rsidP="004722D0">
      <w:pPr>
        <w:spacing w:after="0" w:line="20" w:lineRule="atLeast"/>
        <w:jc w:val="both"/>
        <w:textAlignment w:val="baseline"/>
        <w:rPr>
          <w:rFonts w:ascii="Times New Roman" w:hAnsi="Times New Roman"/>
          <w:sz w:val="24"/>
          <w:szCs w:val="24"/>
        </w:rPr>
      </w:pPr>
    </w:p>
    <w:p w:rsidR="00795BE3" w:rsidRPr="00E63D70" w:rsidRDefault="00795BE3" w:rsidP="004722D0">
      <w:pPr>
        <w:spacing w:after="0" w:line="20" w:lineRule="atLeast"/>
        <w:jc w:val="both"/>
        <w:textAlignment w:val="baseline"/>
        <w:rPr>
          <w:rFonts w:ascii="Times New Roman" w:hAnsi="Times New Roman"/>
          <w:sz w:val="24"/>
          <w:szCs w:val="24"/>
        </w:rPr>
      </w:pPr>
      <w:r w:rsidRPr="00E63D70">
        <w:rPr>
          <w:rFonts w:ascii="Times New Roman" w:hAnsi="Times New Roman"/>
          <w:sz w:val="24"/>
          <w:szCs w:val="24"/>
        </w:rPr>
        <w:t>A 1 (nekropola)</w:t>
      </w:r>
    </w:p>
    <w:p w:rsidR="00795BE3" w:rsidRPr="00E63D70" w:rsidRDefault="00795BE3" w:rsidP="004722D0">
      <w:pPr>
        <w:spacing w:after="0" w:line="20" w:lineRule="atLeast"/>
        <w:jc w:val="both"/>
        <w:textAlignment w:val="baseline"/>
        <w:rPr>
          <w:rFonts w:ascii="Times New Roman" w:hAnsi="Times New Roman"/>
          <w:sz w:val="24"/>
          <w:szCs w:val="24"/>
        </w:rPr>
      </w:pPr>
      <w:r w:rsidRPr="00E63D70">
        <w:rPr>
          <w:rFonts w:ascii="Times New Roman" w:hAnsi="Times New Roman"/>
          <w:sz w:val="24"/>
          <w:szCs w:val="24"/>
        </w:rPr>
        <w:t>k. č. zgr. 655/1 (zk. ul. 1191) i 655/2 (zk. ul. 1192), k. č. zem. 6914/1 (zk. ul. 3353), 6820/3 (zk. ul. 1191), 6820/2 (zk. ul. 1192), 6820/1 (zk. ul. 1126), 6815 (zk. ul. 3352), 6812 (zk. ul. 2609), 6813 (zk. ul. 2609), 6814 (zk. ul. 3352), 6810 (zk. ul. 2609), 6816 (zk. ul. 3353), 6809 (zk. ul. 3353), 6808 (zk. ul. 2609), 6821/2 (zk. ul. 1127), 6821/1 (zk. ul. 1128), 6914/2 (zk. ul. 3352), 6913/1 (zk. ul. 2315), 6913/2 (zk. ul. 406), 6911/1 (zk. ul. 4263), 6911/2 (zk. ul. 4072), 6910/2 (zk. ul. 506), sve k.o. Blato.</w:t>
      </w:r>
    </w:p>
    <w:p w:rsidR="00795BE3" w:rsidRPr="00E63D70" w:rsidRDefault="00795BE3" w:rsidP="004722D0">
      <w:pPr>
        <w:spacing w:after="0" w:line="20" w:lineRule="atLeast"/>
        <w:jc w:val="both"/>
        <w:textAlignment w:val="baseline"/>
        <w:rPr>
          <w:rFonts w:ascii="Times New Roman" w:hAnsi="Times New Roman"/>
          <w:sz w:val="24"/>
          <w:szCs w:val="24"/>
        </w:rPr>
      </w:pPr>
    </w:p>
    <w:p w:rsidR="00795BE3" w:rsidRPr="00E63D70" w:rsidRDefault="00795BE3" w:rsidP="004722D0">
      <w:pPr>
        <w:spacing w:after="0" w:line="20" w:lineRule="atLeast"/>
        <w:jc w:val="both"/>
        <w:textAlignment w:val="baseline"/>
        <w:rPr>
          <w:rFonts w:ascii="Times New Roman" w:hAnsi="Times New Roman"/>
          <w:sz w:val="24"/>
          <w:szCs w:val="24"/>
        </w:rPr>
      </w:pPr>
      <w:r w:rsidRPr="00E63D70">
        <w:rPr>
          <w:rFonts w:ascii="Times New Roman" w:hAnsi="Times New Roman"/>
          <w:sz w:val="24"/>
          <w:szCs w:val="24"/>
        </w:rPr>
        <w:t>A 2 (gradinski plato s dijelom podgrađa)</w:t>
      </w:r>
    </w:p>
    <w:p w:rsidR="00795BE3" w:rsidRPr="00E63D70" w:rsidRDefault="00795BE3" w:rsidP="004722D0">
      <w:pPr>
        <w:spacing w:after="0" w:line="20" w:lineRule="atLeast"/>
        <w:jc w:val="both"/>
        <w:textAlignment w:val="baseline"/>
        <w:rPr>
          <w:rFonts w:ascii="Times New Roman" w:hAnsi="Times New Roman"/>
          <w:sz w:val="24"/>
          <w:szCs w:val="24"/>
        </w:rPr>
      </w:pPr>
      <w:r w:rsidRPr="00E63D70">
        <w:rPr>
          <w:rFonts w:ascii="Times New Roman" w:hAnsi="Times New Roman"/>
          <w:sz w:val="24"/>
          <w:szCs w:val="24"/>
        </w:rPr>
        <w:t>6093 (zk. ul. 111), 6092 (zk. ul. 5125), 6084/1 (zk. ul. 2688), 6084/2 (zk. ul. 2685), 6084/3 (zk. ul. 2687), 6084/4 (zk. ul. 2689), 6084/5 (zk. ul. 2691), 6078 (zk. ul. 316), 6077 (zk. ul. 830), 6076 (zk. ul. 1380), 6062 (zk. ul. 894), 6061/2 (zk. ul. 3044), 6061/1 (zk. ul. 893), 6056 (zk. ul. 128), 6055 (zk. ul. 128), 6053 (zk. ul. 1085), 6054 (zk. ul. 1085), 6050 (zk. ul. 1104), 6049 (zk. ul. 1104), 6047/2 (zk. ul. 1099), 6048/2 (zk. ul. 1099), 6047/1 (zk. ul. 4029), 6048/1 (zk. ul. 4029), 6036/3 (zk. ul. 3713), 6036/2 (zk. ul. 3721), 6036/1 (zk. ul. 3713), 6035/2 (zk. ul. 4914), 6035/1 (zk. ul. 31), 6031 (zk. ul. 545), 6030 (zk. ul. 5654), 6027 (zk. ul. 2555), 6026/2 (zk. ul. 291), 6026/1 (zk. ul. 242), 6023/3 (zk. ul. 1725), 6023/2 (zk. ul. 3521), 6023/1 (zk. ul.2268), 6022/2 (zk. ul. 1617), 6022/1 (zk. ul. 1502), 6016/2 (zk. ul. 2502), 6016/1 (zk. ul. 5439), 6015 (zk. ul. 1), 6106 (zk. ul. 5123), sve k.o. Blato.</w:t>
      </w:r>
    </w:p>
    <w:p w:rsidR="00795BE3" w:rsidRPr="00E63D70" w:rsidRDefault="00795BE3" w:rsidP="004722D0">
      <w:pPr>
        <w:spacing w:after="0" w:line="20" w:lineRule="atLeast"/>
        <w:jc w:val="both"/>
        <w:textAlignment w:val="baseline"/>
        <w:rPr>
          <w:rFonts w:ascii="Times New Roman" w:hAnsi="Times New Roman"/>
          <w:sz w:val="24"/>
          <w:szCs w:val="24"/>
        </w:rPr>
      </w:pPr>
    </w:p>
    <w:p w:rsidR="00795BE3" w:rsidRPr="00E63D70" w:rsidRDefault="00795BE3" w:rsidP="004722D0">
      <w:pPr>
        <w:spacing w:after="0" w:line="20" w:lineRule="atLeast"/>
        <w:jc w:val="both"/>
        <w:textAlignment w:val="baseline"/>
        <w:rPr>
          <w:rFonts w:ascii="Times New Roman" w:hAnsi="Times New Roman"/>
          <w:sz w:val="24"/>
          <w:szCs w:val="24"/>
        </w:rPr>
      </w:pPr>
      <w:r w:rsidRPr="00E63D70">
        <w:rPr>
          <w:rFonts w:ascii="Times New Roman" w:hAnsi="Times New Roman"/>
          <w:sz w:val="24"/>
          <w:szCs w:val="24"/>
        </w:rPr>
        <w:t>Zona B (djelomična zaštita arheoloških struktura na području podgrađa) obuhvaća sljedeće katastarske čestice:</w:t>
      </w:r>
    </w:p>
    <w:p w:rsidR="00795BE3" w:rsidRPr="00E63D70" w:rsidRDefault="00795BE3" w:rsidP="004722D0">
      <w:pPr>
        <w:spacing w:after="0" w:line="20" w:lineRule="atLeast"/>
        <w:jc w:val="both"/>
        <w:textAlignment w:val="baseline"/>
        <w:rPr>
          <w:rFonts w:ascii="Times New Roman" w:hAnsi="Times New Roman"/>
          <w:sz w:val="24"/>
          <w:szCs w:val="24"/>
        </w:rPr>
      </w:pPr>
      <w:r w:rsidRPr="00E63D70">
        <w:rPr>
          <w:rFonts w:ascii="Times New Roman" w:hAnsi="Times New Roman"/>
          <w:sz w:val="24"/>
          <w:szCs w:val="24"/>
        </w:rPr>
        <w:t>k. č. zemljišta 6822 (zk. ul. 1266), 6823 (zk. ul. 3984), 6824/1 (zk. ul. 6473), 6824/2 (zk. ul. 1096), 6825 (zk. ul. 6237), 6826 (zk. ul. 1954), 6827 (zk. ul. 1208), 6828 (zk. ul. 32), 6829 (zk. ul. 32), 6830/1 (zk. ul. 31), 6830/2 (zk. ul. 31), 6832 (zk. ul. 2223), 6833/1 (zk. ul. 3686), dio 31062 (zk. ul. 4792), 6064 (zk. ul. 103), 6058/1 (zk. ul. 6847 i 1213), 6058/2 (zk. ul. 4995), 6059 (zk. ul. 2486), 6075/1 (zk. ul. 4309), 6075/2 (zk. ul. 1380), 6063 (zk. ul. 894), 6060/2 (zk. ul. 3044), 6060/1 (zk. ul. 893), 6057 (zk. ul. 128), 6052 (zk. ul. 1085), 6051 (zk. ul. 1104), 6046/2 (zk. ul. 1099), 6046/1 (zk. ul. 4029), 6037/1 (zk. ul. 3721), 6037/2 (zk. ul. 2942), 6041 (zk. ul. 1678), 6040/2 (zk. ul. 3713), 6040/1 (zk. ul. 918), 6037/3 (zk. ul. 3713), 6045/2 (zk. ul. 1099), 6045/1 (zk. ul. 4029), 6037/4 (zk. ul. 3721), 6037/5 (zk. ul. 3713), 6038/3 (zk. ul. 3713), 6038/2 (zk. ul. 3721), 6038/1 (zk. ul. 3713), 6039 (zk. ul. 4914), 6034/1 (zk. ul. 32), 6034/2 (zk. ul. 4914), 6033/2 (zk. ul. 31), 6033/1 (zk. ul.31), 6032 (zk. ul. 545), 6029/4 (zk. ul. 3511), 6029/3 (zk. ul. 5663), 6029/2 (zk. ul. 3511), 6029/1 (zk. ul. 5663), 6028 (zk. ul. 2555), 6025/2 (zk. ul. 291), 6025/1 (zk. ul. 244), sve k. o. Blato.</w:t>
      </w:r>
    </w:p>
    <w:p w:rsidR="00795BE3" w:rsidRDefault="00795BE3" w:rsidP="004722D0">
      <w:pPr>
        <w:spacing w:after="0" w:line="20" w:lineRule="atLeast"/>
        <w:jc w:val="both"/>
        <w:rPr>
          <w:rFonts w:ascii="Times New Roman" w:hAnsi="Times New Roman"/>
          <w:sz w:val="24"/>
          <w:szCs w:val="24"/>
        </w:rPr>
      </w:pPr>
    </w:p>
    <w:p w:rsidR="00795BE3" w:rsidRPr="00E63D70" w:rsidRDefault="00795BE3" w:rsidP="004722D0">
      <w:pPr>
        <w:spacing w:after="0" w:line="20" w:lineRule="atLeast"/>
        <w:jc w:val="both"/>
        <w:rPr>
          <w:rFonts w:ascii="Times New Roman" w:hAnsi="Times New Roman"/>
          <w:sz w:val="24"/>
          <w:szCs w:val="24"/>
        </w:rPr>
      </w:pPr>
      <w:r w:rsidRPr="00E63D70">
        <w:rPr>
          <w:rFonts w:ascii="Times New Roman" w:hAnsi="Times New Roman"/>
          <w:sz w:val="24"/>
          <w:szCs w:val="24"/>
        </w:rPr>
        <w:t xml:space="preserve">Ova arheološka zona (zona A i zona B)  u obuhvaća površinu od približno </w:t>
      </w:r>
      <w:smartTag w:uri="urn:schemas-microsoft-com:office:smarttags" w:element="metricconverter">
        <w:smartTagPr>
          <w:attr w:name="ProductID" w:val="5 hektara"/>
        </w:smartTagPr>
        <w:r w:rsidRPr="00E63D70">
          <w:rPr>
            <w:rFonts w:ascii="Times New Roman" w:hAnsi="Times New Roman"/>
            <w:sz w:val="24"/>
            <w:szCs w:val="24"/>
          </w:rPr>
          <w:t>5 hektara</w:t>
        </w:r>
      </w:smartTag>
      <w:r w:rsidRPr="00E63D70">
        <w:rPr>
          <w:rFonts w:ascii="Times New Roman" w:hAnsi="Times New Roman"/>
          <w:sz w:val="24"/>
          <w:szCs w:val="24"/>
        </w:rPr>
        <w:t xml:space="preserve"> krškog, brdovitog terena sjeverozapadno od naselja Blato. Cilj njenog formiranja je zaštita prapovijesno/ protopovijesnog gradinskog naselja i nekropole smještenih na vrhu i južnoj padini istoimenog brda. </w:t>
      </w:r>
    </w:p>
    <w:p w:rsidR="00795BE3" w:rsidRPr="00E63D70" w:rsidRDefault="00795BE3" w:rsidP="004722D0">
      <w:pPr>
        <w:spacing w:after="0" w:line="20" w:lineRule="atLeast"/>
        <w:jc w:val="both"/>
        <w:rPr>
          <w:rFonts w:ascii="Times New Roman" w:hAnsi="Times New Roman"/>
          <w:sz w:val="24"/>
          <w:szCs w:val="24"/>
        </w:rPr>
      </w:pPr>
      <w:r w:rsidRPr="00E63D70">
        <w:rPr>
          <w:rFonts w:ascii="Times New Roman" w:hAnsi="Times New Roman"/>
          <w:sz w:val="24"/>
          <w:szCs w:val="24"/>
        </w:rPr>
        <w:t>Značaj naselja Kopila je, osim u veličini, položaju i specifičnoj arhitekturi, u dosad nađenoj većoj količini arheoloških predmeta (Grčka, helenistička i lokalna keramika, raznolik nakit od srebra, bronce, jantara i stakla, željezno oružje, grobovi s brojnim osteološkim ostacima…).</w:t>
      </w:r>
    </w:p>
    <w:p w:rsidR="00795BE3" w:rsidRPr="00E63D70" w:rsidRDefault="00795BE3" w:rsidP="004722D0">
      <w:pPr>
        <w:spacing w:after="0" w:line="20" w:lineRule="atLeast"/>
        <w:jc w:val="both"/>
        <w:rPr>
          <w:rFonts w:ascii="Times New Roman" w:hAnsi="Times New Roman"/>
          <w:sz w:val="24"/>
          <w:szCs w:val="24"/>
        </w:rPr>
      </w:pPr>
    </w:p>
    <w:p w:rsidR="00795BE3" w:rsidRPr="00E63D70" w:rsidRDefault="00795BE3" w:rsidP="004722D0">
      <w:pPr>
        <w:spacing w:after="0" w:line="20" w:lineRule="atLeast"/>
        <w:jc w:val="center"/>
        <w:rPr>
          <w:rFonts w:ascii="Times New Roman" w:hAnsi="Times New Roman"/>
          <w:sz w:val="24"/>
          <w:szCs w:val="24"/>
        </w:rPr>
      </w:pPr>
      <w:r w:rsidRPr="00D15DBA">
        <w:rPr>
          <w:rFonts w:ascii="Times New Roman" w:hAnsi="Times New Roman"/>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lika 1" o:spid="_x0000_i1025" type="#_x0000_t75" style="width:481.5pt;height:369pt;visibility:visible">
            <v:imagedata r:id="rId5" o:title=""/>
          </v:shape>
        </w:pict>
      </w:r>
      <w:r w:rsidRPr="00E63D70">
        <w:rPr>
          <w:rFonts w:ascii="Times New Roman" w:hAnsi="Times New Roman"/>
          <w:i/>
          <w:sz w:val="24"/>
          <w:szCs w:val="24"/>
        </w:rPr>
        <w:t xml:space="preserve">          Zračna snimka s iscrtanim rubom od strane Ministarstva kulture i medija zaštićenog prostora</w:t>
      </w:r>
    </w:p>
    <w:p w:rsidR="00795BE3" w:rsidRPr="00E63D70" w:rsidRDefault="00795BE3" w:rsidP="004722D0">
      <w:pPr>
        <w:spacing w:after="0" w:line="20" w:lineRule="atLeast"/>
        <w:jc w:val="both"/>
        <w:rPr>
          <w:rFonts w:ascii="Times New Roman" w:hAnsi="Times New Roman"/>
          <w:sz w:val="24"/>
          <w:szCs w:val="24"/>
        </w:rPr>
      </w:pPr>
    </w:p>
    <w:p w:rsidR="00795BE3" w:rsidRPr="00E63D70" w:rsidRDefault="00795BE3" w:rsidP="004722D0">
      <w:pPr>
        <w:spacing w:after="0" w:line="20" w:lineRule="atLeast"/>
        <w:jc w:val="both"/>
        <w:rPr>
          <w:rFonts w:ascii="Times New Roman" w:hAnsi="Times New Roman"/>
          <w:sz w:val="24"/>
          <w:szCs w:val="24"/>
        </w:rPr>
      </w:pPr>
      <w:r w:rsidRPr="00E63D70">
        <w:rPr>
          <w:rFonts w:ascii="Times New Roman" w:hAnsi="Times New Roman"/>
          <w:sz w:val="24"/>
          <w:szCs w:val="24"/>
        </w:rPr>
        <w:t>Arheološki park Kopila prostirati će se na sunčanim padinama brda Kopila/Stražišće/Podstražišće i to od zapadnog rubnog dijela polja Doli do asfaltne ceste koja sa zapadne  strane obuhvaća samo brdo. Njegova najviša točka je gradinska akropola, a rub parka s južne strane prati manju prirodnu liticu koja definira temenos nekropole. Sastavni dio parka su asfaltna cesta od spoja sa cestom za Bristvu i pješačka staza koja započinje od ceste Vela Luka – Korčula. Zona zaštićena od strane Ministarstva kulture i medija čini užu jezgru samog parka.</w:t>
      </w:r>
    </w:p>
    <w:p w:rsidR="00795BE3" w:rsidRPr="00E63D70" w:rsidRDefault="00795BE3" w:rsidP="004722D0">
      <w:pPr>
        <w:spacing w:after="0" w:line="20" w:lineRule="atLeast"/>
        <w:jc w:val="both"/>
        <w:rPr>
          <w:rFonts w:ascii="Times New Roman" w:hAnsi="Times New Roman"/>
          <w:sz w:val="24"/>
          <w:szCs w:val="24"/>
        </w:rPr>
      </w:pPr>
    </w:p>
    <w:p w:rsidR="00795BE3" w:rsidRPr="00E63D70" w:rsidRDefault="00795BE3" w:rsidP="004722D0">
      <w:pPr>
        <w:spacing w:after="0" w:line="20" w:lineRule="atLeast"/>
        <w:jc w:val="both"/>
        <w:rPr>
          <w:rFonts w:ascii="Times New Roman" w:hAnsi="Times New Roman"/>
          <w:sz w:val="24"/>
          <w:szCs w:val="24"/>
          <w:shd w:val="clear" w:color="auto" w:fill="FFFFFF"/>
        </w:rPr>
      </w:pPr>
      <w:r w:rsidRPr="00E63D70">
        <w:rPr>
          <w:rFonts w:ascii="Times New Roman" w:hAnsi="Times New Roman"/>
          <w:sz w:val="24"/>
          <w:szCs w:val="24"/>
        </w:rPr>
        <w:t xml:space="preserve">Rubni prostor parka je prostor omeđen katastarskim česticama: 6110, 6105/1, 6105/2, 6104, 6103, 6342, 6341/2, 6341/3, 6410/2, 6409/1, 6408, 6405, 6404, 6390, 6389, 6385, 6384/2, 6379, 6367, 6802/4, 16038/1, 16038/3, 6803/1, 6803/2, 6803/9, 6813, 6814, 6820/1, 6820/3, 6814/1, 6814/2, 6913/1, 6913/2, 6911/1, 6910/1, 6910/2 6908/1, 6908/2, 6907, 6906. 6904, 6903, 6998, 6897/2, 6879, 6835, 6836/1, 6837/1, 6837/4, 6838/1, 6838/2, 6020/1, 6020/2, 6019/1, 6019/2, 6012, 6011, 6008, </w:t>
      </w:r>
      <w:r w:rsidRPr="00E63D70">
        <w:rPr>
          <w:rFonts w:ascii="Times New Roman" w:hAnsi="Times New Roman"/>
          <w:sz w:val="24"/>
          <w:szCs w:val="24"/>
          <w:shd w:val="clear" w:color="auto" w:fill="FFFFFF"/>
        </w:rPr>
        <w:t>31062, javni put, sve od spoja sa cestom VL-KČ i asfaltni put koji ide od spoja  ceste za Bristvu, preko Doli do ruba obuhvata.</w:t>
      </w:r>
    </w:p>
    <w:p w:rsidR="00795BE3" w:rsidRPr="00E63D70" w:rsidRDefault="00795BE3" w:rsidP="004722D0">
      <w:pPr>
        <w:spacing w:after="0" w:line="20" w:lineRule="atLeast"/>
        <w:jc w:val="both"/>
        <w:rPr>
          <w:rFonts w:ascii="Times New Roman" w:hAnsi="Times New Roman"/>
          <w:sz w:val="24"/>
          <w:szCs w:val="24"/>
          <w:shd w:val="clear" w:color="auto" w:fill="FFFFFF"/>
        </w:rPr>
      </w:pPr>
    </w:p>
    <w:p w:rsidR="00795BE3" w:rsidRPr="00E63D70" w:rsidRDefault="00795BE3" w:rsidP="004722D0">
      <w:pPr>
        <w:spacing w:after="0" w:line="20" w:lineRule="atLeast"/>
        <w:jc w:val="both"/>
        <w:rPr>
          <w:rFonts w:ascii="Times New Roman" w:hAnsi="Times New Roman"/>
          <w:sz w:val="24"/>
          <w:szCs w:val="24"/>
          <w:shd w:val="clear" w:color="auto" w:fill="FFFFFF"/>
        </w:rPr>
      </w:pPr>
      <w:r w:rsidRPr="00E63D70">
        <w:rPr>
          <w:rFonts w:ascii="Times New Roman" w:hAnsi="Times New Roman"/>
          <w:sz w:val="24"/>
          <w:szCs w:val="24"/>
          <w:shd w:val="clear" w:color="auto" w:fill="FFFFFF"/>
        </w:rPr>
        <w:t>Površina koju ove čestice definiraju iznosi oko 2,5 km</w:t>
      </w:r>
      <w:r w:rsidRPr="00E63D70">
        <w:rPr>
          <w:rFonts w:ascii="Times New Roman" w:hAnsi="Times New Roman"/>
          <w:sz w:val="24"/>
          <w:szCs w:val="24"/>
          <w:shd w:val="clear" w:color="auto" w:fill="FFFFFF"/>
          <w:vertAlign w:val="superscript"/>
        </w:rPr>
        <w:t>2</w:t>
      </w:r>
      <w:r w:rsidRPr="00E63D70">
        <w:rPr>
          <w:rFonts w:ascii="Times New Roman" w:hAnsi="Times New Roman"/>
          <w:sz w:val="24"/>
          <w:szCs w:val="24"/>
          <w:shd w:val="clear" w:color="auto" w:fill="FFFFFF"/>
          <w:vertAlign w:val="subscript"/>
        </w:rPr>
        <w:t xml:space="preserve">, </w:t>
      </w:r>
      <w:r w:rsidRPr="00E63D70">
        <w:rPr>
          <w:rFonts w:ascii="Times New Roman" w:hAnsi="Times New Roman"/>
          <w:sz w:val="24"/>
          <w:szCs w:val="24"/>
          <w:shd w:val="clear" w:color="auto" w:fill="FFFFFF"/>
        </w:rPr>
        <w:t>ali osim zapadnog ruba polja Doli i nekoliko čestica uz asfaltnu cestu odnosi se isključivo na davno zapušteno poljoprivredno zemljište danas obraslo makijom i borovom šumom. Još uvijek se ekstenzivno obrađuje samo nekoliko desetaka maslina.</w:t>
      </w:r>
    </w:p>
    <w:p w:rsidR="00795BE3" w:rsidRPr="00E63D70" w:rsidRDefault="00795BE3" w:rsidP="004722D0">
      <w:pPr>
        <w:spacing w:after="0" w:line="20" w:lineRule="atLeast"/>
        <w:jc w:val="both"/>
        <w:rPr>
          <w:rFonts w:ascii="Times New Roman" w:hAnsi="Times New Roman"/>
          <w:sz w:val="24"/>
          <w:szCs w:val="24"/>
          <w:shd w:val="clear" w:color="auto" w:fill="FFFFFF"/>
        </w:rPr>
      </w:pPr>
    </w:p>
    <w:p w:rsidR="00795BE3" w:rsidRPr="00E63D70" w:rsidRDefault="00795BE3" w:rsidP="004722D0">
      <w:pPr>
        <w:spacing w:after="0" w:line="20" w:lineRule="atLeast"/>
        <w:jc w:val="both"/>
        <w:rPr>
          <w:rFonts w:ascii="Times New Roman" w:hAnsi="Times New Roman"/>
          <w:sz w:val="24"/>
          <w:szCs w:val="24"/>
          <w:shd w:val="clear" w:color="auto" w:fill="FFFFFF"/>
        </w:rPr>
      </w:pPr>
      <w:r w:rsidRPr="00E63D70">
        <w:rPr>
          <w:rFonts w:ascii="Times New Roman" w:hAnsi="Times New Roman"/>
          <w:sz w:val="24"/>
          <w:szCs w:val="24"/>
          <w:shd w:val="clear" w:color="auto" w:fill="FFFFFF"/>
        </w:rPr>
        <w:t>Formiranjem zaštićene zone, odnosno Arheološkog parka, vrijednost zemljišta će porasti, što u pravilu dovodi do pojačanog zanimanja pa i intenziviranja obrade tla. Primjera takve prakse ima više pa danas nekada bezvrijedno zemljište npr. na Plitvičkim jezerima ili u Kornatima postiže visoku cijenu. Obradom mediteranskih kultura unutar parka (maslina, rogač, smokva, badem…) oplemenilo bi se krajolik, a kako to nije financijski isplativo, poljodjelsku aktivnost unutar parka bi se trebalo novčano poticati od strane Općine pa i samog Arheološkog parka.</w:t>
      </w:r>
    </w:p>
    <w:p w:rsidR="00795BE3" w:rsidRPr="00E63D70" w:rsidRDefault="00795BE3" w:rsidP="004722D0">
      <w:pPr>
        <w:spacing w:after="0" w:line="20" w:lineRule="atLeast"/>
        <w:jc w:val="both"/>
        <w:rPr>
          <w:rFonts w:ascii="Times New Roman" w:hAnsi="Times New Roman"/>
          <w:sz w:val="24"/>
          <w:szCs w:val="24"/>
          <w:shd w:val="clear" w:color="auto" w:fill="FFFFFF"/>
        </w:rPr>
      </w:pPr>
    </w:p>
    <w:p w:rsidR="00795BE3" w:rsidRPr="00E63D70" w:rsidRDefault="00795BE3" w:rsidP="004722D0">
      <w:pPr>
        <w:spacing w:after="0" w:line="20" w:lineRule="atLeast"/>
        <w:jc w:val="both"/>
        <w:rPr>
          <w:rFonts w:ascii="Times New Roman" w:hAnsi="Times New Roman"/>
          <w:sz w:val="24"/>
          <w:szCs w:val="24"/>
        </w:rPr>
      </w:pPr>
      <w:r w:rsidRPr="00E63D70">
        <w:rPr>
          <w:rFonts w:ascii="Times New Roman" w:hAnsi="Times New Roman"/>
          <w:sz w:val="24"/>
          <w:szCs w:val="24"/>
        </w:rPr>
        <w:t>Predviđamo da će se park u bližoj budućnosti širiti te će zauzimati cjelokupan prostor od Blatskog polja, preko Podstražišća, do vrha Obišena, sjevernu padinu Kopile (Gračišća) čitavo polje Doli i njemu okolne brežuljke te predjele istočno od poljskog puta koji od D. 118 vodi do Kopile.</w:t>
      </w:r>
    </w:p>
    <w:p w:rsidR="00795BE3" w:rsidRPr="00E63D70" w:rsidRDefault="00795BE3" w:rsidP="004722D0">
      <w:pPr>
        <w:spacing w:after="0" w:line="20" w:lineRule="atLeast"/>
        <w:jc w:val="both"/>
        <w:rPr>
          <w:rFonts w:ascii="Times New Roman" w:hAnsi="Times New Roman"/>
          <w:sz w:val="24"/>
          <w:szCs w:val="24"/>
        </w:rPr>
      </w:pPr>
    </w:p>
    <w:p w:rsidR="00795BE3" w:rsidRPr="00E63D70" w:rsidRDefault="00795BE3" w:rsidP="004722D0">
      <w:pPr>
        <w:spacing w:after="0" w:line="20" w:lineRule="atLeast"/>
        <w:jc w:val="both"/>
        <w:rPr>
          <w:rFonts w:ascii="Times New Roman" w:hAnsi="Times New Roman"/>
          <w:sz w:val="24"/>
          <w:szCs w:val="24"/>
        </w:rPr>
      </w:pPr>
      <w:r w:rsidRPr="00E63D70">
        <w:rPr>
          <w:rFonts w:ascii="Times New Roman" w:hAnsi="Times New Roman"/>
          <w:sz w:val="24"/>
          <w:szCs w:val="24"/>
        </w:rPr>
        <w:t>Središte arheološke zone je 225 metara visoko brdo na čijem je vrhu gradinska citadela oblika izduženog slova ''D''. Tlocrtom dominira ravan suhozidni bedem dug oko sto metara čiji se urušeni dijelovi poput širokog kamenog slapa spuštaju niz sjeveroistočnu padinu brda. Ishodišne točke bedema su dva limitna tumula. Vjerojatno se radi o ostacima dviju kula približno kružnog tlocrtan. Jugozapadna od tih dviju građevina je svojevrsna gradinska dominanta, a ona druga štiti pristup gradini s nešto lakše pristupačne, a time i osjetljivije sjeveroistočne strane. Južni/istočni lučno zaobljeni bedem se oslanja na prirodnu strminu koja je dodatno ojačana dijelom istraženim suhozidom širokim oko 4 metra. Niz južnu padinu se nazire i drugi, koncentrično organizirani obrambeni pojasevi. Središnji dio citadele je zaravnjen plato površine gotovo 2000 m</w:t>
      </w:r>
      <w:r w:rsidRPr="00E63D70">
        <w:rPr>
          <w:rFonts w:ascii="Times New Roman" w:hAnsi="Times New Roman"/>
          <w:sz w:val="24"/>
          <w:szCs w:val="24"/>
          <w:vertAlign w:val="superscript"/>
        </w:rPr>
        <w:t>2</w:t>
      </w:r>
      <w:r w:rsidRPr="00E63D70">
        <w:rPr>
          <w:rFonts w:ascii="Times New Roman" w:hAnsi="Times New Roman"/>
          <w:sz w:val="24"/>
          <w:szCs w:val="24"/>
        </w:rPr>
        <w:t>, a buduća istraživanja tog prostora pokazati će izgled i raspored objekata ključnih za život i funkcioniranje zajednice.</w:t>
      </w:r>
    </w:p>
    <w:p w:rsidR="00795BE3" w:rsidRPr="00E63D70" w:rsidRDefault="00795BE3" w:rsidP="004722D0">
      <w:pPr>
        <w:spacing w:after="0" w:line="20" w:lineRule="atLeast"/>
        <w:jc w:val="center"/>
        <w:rPr>
          <w:rFonts w:ascii="Times New Roman" w:hAnsi="Times New Roman"/>
          <w:sz w:val="24"/>
          <w:szCs w:val="24"/>
        </w:rPr>
      </w:pPr>
      <w:r w:rsidRPr="00D15DBA">
        <w:rPr>
          <w:rFonts w:ascii="Times New Roman" w:hAnsi="Times New Roman"/>
          <w:noProof/>
          <w:sz w:val="24"/>
          <w:szCs w:val="24"/>
        </w:rPr>
        <w:pict>
          <v:shape id="Slika 11" o:spid="_x0000_i1026" type="#_x0000_t75" style="width:456pt;height:377.25pt;visibility:visible">
            <v:imagedata r:id="rId6" o:title=""/>
          </v:shape>
        </w:pict>
      </w:r>
    </w:p>
    <w:p w:rsidR="00795BE3" w:rsidRPr="00E63D70" w:rsidRDefault="00795BE3" w:rsidP="004722D0">
      <w:pPr>
        <w:spacing w:after="0" w:line="20" w:lineRule="atLeast"/>
        <w:jc w:val="center"/>
        <w:rPr>
          <w:rFonts w:ascii="Times New Roman" w:hAnsi="Times New Roman"/>
          <w:i/>
          <w:sz w:val="24"/>
          <w:szCs w:val="24"/>
        </w:rPr>
      </w:pPr>
      <w:r w:rsidRPr="00E63D70">
        <w:rPr>
          <w:rFonts w:ascii="Times New Roman" w:hAnsi="Times New Roman"/>
          <w:i/>
          <w:sz w:val="24"/>
          <w:szCs w:val="24"/>
        </w:rPr>
        <w:t>Obuhvat arheološkog parka (crvena boja)</w:t>
      </w:r>
    </w:p>
    <w:p w:rsidR="00795BE3" w:rsidRPr="00E63D70" w:rsidRDefault="00795BE3" w:rsidP="004722D0">
      <w:pPr>
        <w:spacing w:after="0" w:line="20" w:lineRule="atLeast"/>
        <w:jc w:val="center"/>
        <w:rPr>
          <w:rFonts w:ascii="Times New Roman" w:hAnsi="Times New Roman"/>
          <w:i/>
          <w:sz w:val="24"/>
          <w:szCs w:val="24"/>
        </w:rPr>
      </w:pPr>
      <w:r w:rsidRPr="00E63D70">
        <w:rPr>
          <w:rFonts w:ascii="Times New Roman" w:hAnsi="Times New Roman"/>
          <w:i/>
          <w:sz w:val="24"/>
          <w:szCs w:val="24"/>
        </w:rPr>
        <w:t>Asfaltna cesta koja počinje od spoja ceste za Bristvu do Kopile (plava boja)</w:t>
      </w:r>
    </w:p>
    <w:p w:rsidR="00795BE3" w:rsidRPr="00E63D70" w:rsidRDefault="00795BE3" w:rsidP="004722D0">
      <w:pPr>
        <w:spacing w:after="0" w:line="20" w:lineRule="atLeast"/>
        <w:jc w:val="center"/>
        <w:rPr>
          <w:rFonts w:ascii="Times New Roman" w:hAnsi="Times New Roman"/>
          <w:i/>
          <w:sz w:val="24"/>
          <w:szCs w:val="24"/>
        </w:rPr>
      </w:pPr>
      <w:r w:rsidRPr="00E63D70">
        <w:rPr>
          <w:rFonts w:ascii="Times New Roman" w:hAnsi="Times New Roman"/>
          <w:i/>
          <w:sz w:val="24"/>
          <w:szCs w:val="24"/>
        </w:rPr>
        <w:t>Stari poljski put koji počinje od ceste Vela Luka – Blato do Kopile (zelena boja)</w:t>
      </w:r>
    </w:p>
    <w:p w:rsidR="00795BE3" w:rsidRPr="00E63D70" w:rsidRDefault="00795BE3" w:rsidP="004722D0">
      <w:pPr>
        <w:spacing w:after="0" w:line="20" w:lineRule="atLeast"/>
        <w:jc w:val="center"/>
        <w:rPr>
          <w:rFonts w:ascii="Times New Roman" w:hAnsi="Times New Roman"/>
          <w:sz w:val="24"/>
          <w:szCs w:val="24"/>
        </w:rPr>
      </w:pPr>
    </w:p>
    <w:p w:rsidR="00795BE3" w:rsidRPr="00E63D70" w:rsidRDefault="00795BE3" w:rsidP="004722D0">
      <w:pPr>
        <w:spacing w:after="0" w:line="20" w:lineRule="atLeast"/>
        <w:jc w:val="both"/>
        <w:rPr>
          <w:rFonts w:ascii="Times New Roman" w:hAnsi="Times New Roman"/>
          <w:sz w:val="24"/>
          <w:szCs w:val="24"/>
        </w:rPr>
      </w:pPr>
      <w:r w:rsidRPr="00E63D70">
        <w:rPr>
          <w:rFonts w:ascii="Times New Roman" w:hAnsi="Times New Roman"/>
          <w:sz w:val="24"/>
          <w:szCs w:val="24"/>
        </w:rPr>
        <w:t>Niz južnu padinu brijega razvučeno je podgrađe površine oko četiri hektara. Nadamo se da će planirano analiziranje lidar snimaka i geodetsko snimanje terena, kao i proučavanje rasporeda recentnih suhozidova, ukazati na planimetriju naselja. Indikator intenzitet života na južnoj padini je velika količina slomljenih grubih prapovijesnih posuda, dijelova antičkih pitosa i amfora te samo poneki ulomak crno ili crvenoglazirane helenističke keramike.</w:t>
      </w:r>
    </w:p>
    <w:p w:rsidR="00795BE3" w:rsidRPr="00E63D70" w:rsidRDefault="00795BE3" w:rsidP="004722D0">
      <w:pPr>
        <w:spacing w:after="0" w:line="20" w:lineRule="atLeast"/>
        <w:jc w:val="both"/>
        <w:rPr>
          <w:rFonts w:ascii="Times New Roman" w:hAnsi="Times New Roman"/>
          <w:sz w:val="24"/>
          <w:szCs w:val="24"/>
        </w:rPr>
      </w:pPr>
    </w:p>
    <w:p w:rsidR="00795BE3" w:rsidRPr="00E63D70" w:rsidRDefault="00795BE3" w:rsidP="004722D0">
      <w:pPr>
        <w:spacing w:after="0" w:line="20" w:lineRule="atLeast"/>
        <w:jc w:val="both"/>
        <w:rPr>
          <w:rFonts w:ascii="Times New Roman" w:hAnsi="Times New Roman"/>
          <w:sz w:val="24"/>
          <w:szCs w:val="24"/>
        </w:rPr>
      </w:pPr>
      <w:r w:rsidRPr="00E63D70">
        <w:rPr>
          <w:rFonts w:ascii="Times New Roman" w:hAnsi="Times New Roman"/>
          <w:sz w:val="24"/>
          <w:szCs w:val="24"/>
        </w:rPr>
        <w:t>Na istaknutom i povišenom jezičcu između vrha Kopile i Blatskog polja nalazi se nekropola, s južne strane odvojena od okolnog nižeg terena prirodnom liticom ojačanom suhozidom. Širi prostor je krajem 19. st. temeljito terasasto iskrčen, što znači da je dio spomenika nepovratno uništen. Danas su terase zapuštene, obrasle makijom i neobrađivanim maslinama te predstavljaju samo nijeme svjedoke nekada cvatuće vinogradarstva. Istočnije od obronaka Kopile je krška udolina (polje) Dol, uglavnom zasađena uzornim vinogradima, a na okolnim padinama je više uređenih maslinika.</w:t>
      </w:r>
    </w:p>
    <w:p w:rsidR="00795BE3" w:rsidRPr="00E63D70" w:rsidRDefault="00795BE3" w:rsidP="004722D0">
      <w:pPr>
        <w:spacing w:after="0" w:line="20" w:lineRule="atLeast"/>
        <w:jc w:val="both"/>
        <w:rPr>
          <w:rFonts w:ascii="Times New Roman" w:hAnsi="Times New Roman"/>
          <w:sz w:val="24"/>
          <w:szCs w:val="24"/>
        </w:rPr>
      </w:pPr>
    </w:p>
    <w:p w:rsidR="00795BE3" w:rsidRPr="00E63D70" w:rsidRDefault="00795BE3" w:rsidP="004722D0">
      <w:pPr>
        <w:spacing w:after="0" w:line="20" w:lineRule="atLeast"/>
        <w:jc w:val="both"/>
        <w:rPr>
          <w:rFonts w:ascii="Times New Roman" w:hAnsi="Times New Roman"/>
          <w:sz w:val="24"/>
          <w:szCs w:val="24"/>
        </w:rPr>
      </w:pPr>
      <w:r w:rsidRPr="00E63D70">
        <w:rPr>
          <w:rFonts w:ascii="Times New Roman" w:hAnsi="Times New Roman"/>
          <w:sz w:val="24"/>
          <w:szCs w:val="24"/>
        </w:rPr>
        <w:t>Prema dosadašnjim istraživanjima gradina Kopila je naseljena od sredine 1. tisućljeća pr. Kr. pa izgleda manje-više kontinuirano sve do sredine četvrtog stoljeća pr. Kr. Detalji o intenzitetu života na Kopili u tom razdoblju za sada nam nisu poznati, ali istraživanja su tek na početku. Sa znatno većom količinom podataka raspolažemo za razdoblje između sredine četvrtog i sredine prvog stoljeća pr. Krista. U to vrijeme Kopila je točka na kojoj je stolovala lokalna plemenska aristokracija i odakle se nadziralo zapadni dio Korčule, trgovinu Pelješkim kanalom kao i pomorski promet prema ušću Neretve i Srednjoj Dalmaciji.</w:t>
      </w:r>
    </w:p>
    <w:p w:rsidR="00795BE3" w:rsidRPr="00E63D70" w:rsidRDefault="00795BE3" w:rsidP="004722D0">
      <w:pPr>
        <w:spacing w:after="0" w:line="20" w:lineRule="atLeast"/>
        <w:jc w:val="both"/>
        <w:rPr>
          <w:rFonts w:ascii="Times New Roman" w:hAnsi="Times New Roman"/>
          <w:sz w:val="24"/>
          <w:szCs w:val="24"/>
        </w:rPr>
      </w:pPr>
    </w:p>
    <w:p w:rsidR="00795BE3" w:rsidRPr="00E63D70" w:rsidRDefault="00795BE3" w:rsidP="004722D0">
      <w:pPr>
        <w:spacing w:after="0" w:line="20" w:lineRule="atLeast"/>
        <w:jc w:val="both"/>
        <w:rPr>
          <w:rFonts w:ascii="Times New Roman" w:hAnsi="Times New Roman"/>
          <w:sz w:val="24"/>
          <w:szCs w:val="24"/>
        </w:rPr>
      </w:pPr>
      <w:r w:rsidRPr="00E63D70">
        <w:rPr>
          <w:rFonts w:ascii="Times New Roman" w:hAnsi="Times New Roman"/>
          <w:sz w:val="24"/>
          <w:szCs w:val="24"/>
        </w:rPr>
        <w:t>Kopila, mjesto s kojeg potječu neke od najljepših Grčkih vaza i niz ukrasnih predmeta, poznata je 200-tinjak godina, ali ozbiljniji radovi su započeli tek 2012. g. Vrijednost gradine i nekropole Kopila je u izvjesnoj mogućnosti buduće rekonstrukcije rastera predurbanog naselja. Posebnu je zanimljiva nekropola jer se sastoji od svojevrsnih, dijelom megalitskim zidom definiranih tumula, koji su se spajali, širili i vremenom dograđivali te i danas ostavljaju utisak monumentalnosti do sad nezabilježene u ovom dijelu svijeta. Takve građevine, odnosno građevinski sklopovi, pružaju velike mogućnosti budućim analizama i istraživanjima.</w:t>
      </w:r>
    </w:p>
    <w:p w:rsidR="00795BE3" w:rsidRPr="00E63D70" w:rsidRDefault="00795BE3" w:rsidP="004722D0">
      <w:pPr>
        <w:spacing w:after="0" w:line="20" w:lineRule="atLeast"/>
        <w:jc w:val="both"/>
        <w:rPr>
          <w:rFonts w:ascii="Times New Roman" w:hAnsi="Times New Roman"/>
          <w:sz w:val="24"/>
          <w:szCs w:val="24"/>
        </w:rPr>
      </w:pPr>
    </w:p>
    <w:p w:rsidR="00795BE3" w:rsidRPr="00E63D70" w:rsidRDefault="00795BE3" w:rsidP="004722D0">
      <w:pPr>
        <w:spacing w:after="0" w:line="20" w:lineRule="atLeast"/>
        <w:jc w:val="both"/>
        <w:rPr>
          <w:rFonts w:ascii="Times New Roman" w:hAnsi="Times New Roman"/>
          <w:sz w:val="24"/>
          <w:szCs w:val="24"/>
        </w:rPr>
      </w:pPr>
      <w:r w:rsidRPr="00E63D70">
        <w:rPr>
          <w:rFonts w:ascii="Times New Roman" w:hAnsi="Times New Roman"/>
          <w:sz w:val="24"/>
          <w:szCs w:val="24"/>
        </w:rPr>
        <w:t xml:space="preserve">U sadašnjoj fazi istraživačkih i konzervatorskih radova cilj nam je, osim nastavka istraživanja i zaštite, prezentacija lokaliteta. Pri tome prvenstveno mislimo na prezentaciju prapovijesne baštine, ali i na početak aktivnosti vezanih uz prezentaciju različitih etnoloških, botaničkih, zooloških, geoloških i povijesnih aspekata. Razlozi zbog kojih je prostor Kopile neophodno približiti široj javnosti je značaj cijelog kompleksa, ali i velika osjetljivost krhkih i nezaštićenih prapovijesnih struktura, razasutih po teško prohodnom terenu, daleko od svake mogućnosti nadzora. </w:t>
      </w:r>
    </w:p>
    <w:p w:rsidR="00795BE3" w:rsidRPr="00E63D70" w:rsidRDefault="00795BE3" w:rsidP="004722D0">
      <w:pPr>
        <w:spacing w:after="0" w:line="20" w:lineRule="atLeast"/>
        <w:jc w:val="both"/>
        <w:rPr>
          <w:rFonts w:ascii="Times New Roman" w:hAnsi="Times New Roman"/>
          <w:sz w:val="24"/>
          <w:szCs w:val="24"/>
        </w:rPr>
      </w:pPr>
    </w:p>
    <w:p w:rsidR="00795BE3" w:rsidRPr="00E63D70" w:rsidRDefault="00795BE3" w:rsidP="004722D0">
      <w:pPr>
        <w:spacing w:after="0" w:line="20" w:lineRule="atLeast"/>
        <w:jc w:val="both"/>
        <w:rPr>
          <w:rFonts w:ascii="Times New Roman" w:hAnsi="Times New Roman"/>
          <w:sz w:val="24"/>
          <w:szCs w:val="24"/>
        </w:rPr>
      </w:pPr>
      <w:r w:rsidRPr="00E63D70">
        <w:rPr>
          <w:rFonts w:ascii="Times New Roman" w:hAnsi="Times New Roman"/>
          <w:sz w:val="24"/>
          <w:szCs w:val="24"/>
        </w:rPr>
        <w:t>Jedini način njihove zaštite (osim formalne zaštite od strane Ministarstva kulture i medija) je formiranje arheološke zone, tj. arheološkog parka, u budućnosti i muzeja na otvorenom, što će osigurati stalnu kontrolu i potrebne konzervatorske aktivnosti.</w:t>
      </w:r>
    </w:p>
    <w:p w:rsidR="00795BE3" w:rsidRPr="00E63D70" w:rsidRDefault="00795BE3" w:rsidP="004722D0">
      <w:pPr>
        <w:spacing w:after="0" w:line="20" w:lineRule="atLeast"/>
        <w:jc w:val="both"/>
        <w:rPr>
          <w:rFonts w:ascii="Times New Roman" w:hAnsi="Times New Roman"/>
          <w:sz w:val="24"/>
          <w:szCs w:val="24"/>
        </w:rPr>
      </w:pPr>
    </w:p>
    <w:p w:rsidR="00795BE3" w:rsidRPr="00E63D70" w:rsidRDefault="00795BE3" w:rsidP="004722D0">
      <w:pPr>
        <w:spacing w:after="0" w:line="20" w:lineRule="atLeast"/>
        <w:jc w:val="both"/>
        <w:rPr>
          <w:rFonts w:ascii="Times New Roman" w:hAnsi="Times New Roman"/>
          <w:sz w:val="24"/>
          <w:szCs w:val="24"/>
        </w:rPr>
      </w:pPr>
      <w:r w:rsidRPr="00E63D70">
        <w:rPr>
          <w:rFonts w:ascii="Times New Roman" w:hAnsi="Times New Roman"/>
          <w:sz w:val="24"/>
          <w:szCs w:val="24"/>
        </w:rPr>
        <w:t xml:space="preserve">Početkom 21. stoljeća zbog promjena u otočnom gospodarstvu izraženih kroz turistifikaciju prvenstveno uskog priobalnog prostora, došlo je do zanemarivanja, do potpunog zapostavljanja velikih dijelova unutrašnjosti otoka među koje spada i Kopila. Formiranje Arheološkog parka je važno zbog ponovnog povratka čovjeka i revitalizacije tog i sličnih prostora. </w:t>
      </w:r>
    </w:p>
    <w:p w:rsidR="00795BE3" w:rsidRDefault="00795BE3" w:rsidP="004722D0">
      <w:pPr>
        <w:spacing w:after="0" w:line="20" w:lineRule="atLeast"/>
        <w:jc w:val="both"/>
        <w:rPr>
          <w:rFonts w:ascii="Times New Roman" w:hAnsi="Times New Roman"/>
          <w:sz w:val="24"/>
          <w:szCs w:val="24"/>
        </w:rPr>
      </w:pPr>
    </w:p>
    <w:p w:rsidR="00795BE3" w:rsidRDefault="00795BE3" w:rsidP="004722D0">
      <w:pPr>
        <w:spacing w:after="0" w:line="20" w:lineRule="atLeast"/>
        <w:jc w:val="both"/>
        <w:rPr>
          <w:rFonts w:ascii="Times New Roman" w:hAnsi="Times New Roman"/>
          <w:sz w:val="24"/>
          <w:szCs w:val="24"/>
        </w:rPr>
      </w:pPr>
    </w:p>
    <w:p w:rsidR="00795BE3" w:rsidRDefault="00795BE3" w:rsidP="004722D0">
      <w:pPr>
        <w:spacing w:after="0" w:line="20" w:lineRule="atLeast"/>
        <w:jc w:val="both"/>
        <w:rPr>
          <w:rFonts w:ascii="Times New Roman" w:hAnsi="Times New Roman"/>
          <w:sz w:val="24"/>
          <w:szCs w:val="24"/>
        </w:rPr>
      </w:pPr>
    </w:p>
    <w:p w:rsidR="00795BE3" w:rsidRDefault="00795BE3" w:rsidP="004722D0">
      <w:pPr>
        <w:spacing w:after="0" w:line="20" w:lineRule="atLeast"/>
        <w:jc w:val="both"/>
        <w:rPr>
          <w:rFonts w:ascii="Times New Roman" w:hAnsi="Times New Roman"/>
          <w:sz w:val="24"/>
          <w:szCs w:val="24"/>
        </w:rPr>
      </w:pPr>
    </w:p>
    <w:p w:rsidR="00795BE3" w:rsidRDefault="00795BE3" w:rsidP="004722D0">
      <w:pPr>
        <w:spacing w:after="0" w:line="20" w:lineRule="atLeast"/>
        <w:jc w:val="both"/>
        <w:rPr>
          <w:rFonts w:ascii="Times New Roman" w:hAnsi="Times New Roman"/>
          <w:sz w:val="24"/>
          <w:szCs w:val="24"/>
        </w:rPr>
      </w:pPr>
    </w:p>
    <w:p w:rsidR="00795BE3" w:rsidRDefault="00795BE3" w:rsidP="004722D0">
      <w:pPr>
        <w:spacing w:after="0" w:line="20" w:lineRule="atLeast"/>
        <w:jc w:val="both"/>
        <w:rPr>
          <w:rFonts w:ascii="Times New Roman" w:hAnsi="Times New Roman"/>
          <w:sz w:val="24"/>
          <w:szCs w:val="24"/>
        </w:rPr>
      </w:pPr>
    </w:p>
    <w:p w:rsidR="00795BE3" w:rsidRPr="00E63D70" w:rsidRDefault="00795BE3" w:rsidP="004722D0">
      <w:pPr>
        <w:spacing w:after="0" w:line="20" w:lineRule="atLeast"/>
        <w:jc w:val="both"/>
        <w:rPr>
          <w:rFonts w:ascii="Times New Roman" w:hAnsi="Times New Roman"/>
          <w:sz w:val="24"/>
          <w:szCs w:val="24"/>
        </w:rPr>
      </w:pPr>
    </w:p>
    <w:p w:rsidR="00795BE3" w:rsidRPr="00E63D70" w:rsidRDefault="00795BE3" w:rsidP="004722D0">
      <w:pPr>
        <w:spacing w:after="0" w:line="20" w:lineRule="atLeast"/>
        <w:jc w:val="both"/>
        <w:rPr>
          <w:rFonts w:ascii="Times New Roman" w:hAnsi="Times New Roman"/>
          <w:sz w:val="24"/>
          <w:szCs w:val="24"/>
        </w:rPr>
      </w:pPr>
      <w:r w:rsidRPr="00E63D70">
        <w:rPr>
          <w:rFonts w:ascii="Times New Roman" w:hAnsi="Times New Roman"/>
          <w:sz w:val="24"/>
          <w:szCs w:val="24"/>
        </w:rPr>
        <w:t xml:space="preserve">U širi, nezaštićeni prostor lokaliteta Kopila, spada nekoliko većih prapovijesnih (brončanodobnih) grobnih gomila – tumula tj. istaknutih točaka u prostoru u kojima su ukapani pojedini rodovski odličnici. Nije moguće preskočiti ni Blatsko polje na koje se sa svake točke Kopile pruža jedinstven pogled. Blatsko polje obiluje arheološkim spomenicima, a značajno je i kao najveća obradiva površina na srednjodalmatinskim otocima. Tijekom prošlosti to polje je bilo i periodično kraško jezero, što će tijekom interpretacije trebati prezentirati na nekom od standardnih načina. Posebno će biti zanimljivo do kraja istražiti utjecaj čovjeka na transformaciju polja u jezero, ali i utjecaj te transformacije na gospodarstvo zajednice koja živi na rubu polja/jezera, odnosno na njihovu mogućnost ili nemogućnost adaptiranja promjenama. Uvid u ljudsku prilagodbu životu u polju/jezeru može se pratiti na srednje neolitičkom lokalitetu Lokvica. </w:t>
      </w:r>
    </w:p>
    <w:p w:rsidR="00795BE3" w:rsidRPr="00E63D70" w:rsidRDefault="00795BE3" w:rsidP="004722D0">
      <w:pPr>
        <w:spacing w:after="0" w:line="20" w:lineRule="atLeast"/>
        <w:jc w:val="both"/>
        <w:rPr>
          <w:rFonts w:ascii="Times New Roman" w:hAnsi="Times New Roman"/>
          <w:sz w:val="24"/>
          <w:szCs w:val="24"/>
        </w:rPr>
      </w:pPr>
    </w:p>
    <w:p w:rsidR="00795BE3" w:rsidRPr="00E63D70" w:rsidRDefault="00795BE3" w:rsidP="004722D0">
      <w:pPr>
        <w:spacing w:after="0" w:line="20" w:lineRule="atLeast"/>
        <w:jc w:val="both"/>
        <w:rPr>
          <w:rFonts w:ascii="Times New Roman" w:hAnsi="Times New Roman"/>
          <w:sz w:val="24"/>
          <w:szCs w:val="24"/>
        </w:rPr>
      </w:pPr>
      <w:r w:rsidRPr="00E63D70">
        <w:rPr>
          <w:rFonts w:ascii="Times New Roman" w:hAnsi="Times New Roman"/>
          <w:sz w:val="24"/>
          <w:szCs w:val="24"/>
        </w:rPr>
        <w:t>Zadnju veliku preobrazbu Blatsko polje je doživjelo 1913. g. kad je isušeno složenim melioracijskim zahvatima i pretvoreno u obradivu površinu. Danas je polje središnji dio vodoslivnog područja s kojeg se zapadni dio otoka opskrbljuje pitkom vodom.</w:t>
      </w:r>
    </w:p>
    <w:p w:rsidR="00795BE3" w:rsidRPr="00E63D70" w:rsidRDefault="00795BE3" w:rsidP="004722D0">
      <w:pPr>
        <w:spacing w:after="0" w:line="20" w:lineRule="atLeast"/>
        <w:jc w:val="both"/>
        <w:rPr>
          <w:rFonts w:ascii="Times New Roman" w:hAnsi="Times New Roman"/>
          <w:sz w:val="24"/>
          <w:szCs w:val="24"/>
        </w:rPr>
      </w:pPr>
    </w:p>
    <w:p w:rsidR="00795BE3" w:rsidRPr="00E63D70" w:rsidRDefault="00795BE3" w:rsidP="004722D0">
      <w:pPr>
        <w:spacing w:after="0" w:line="20" w:lineRule="atLeast"/>
        <w:jc w:val="both"/>
        <w:rPr>
          <w:rFonts w:ascii="Times New Roman" w:hAnsi="Times New Roman"/>
          <w:sz w:val="24"/>
          <w:szCs w:val="24"/>
        </w:rPr>
      </w:pPr>
      <w:r w:rsidRPr="00E63D70">
        <w:rPr>
          <w:rFonts w:ascii="Times New Roman" w:hAnsi="Times New Roman"/>
          <w:sz w:val="24"/>
          <w:szCs w:val="24"/>
        </w:rPr>
        <w:t>Više podataka o istraživanjima na Kopili, analizama, nađenim predmetima, arhitektonskim objektima te općenito o njenom značaju vidi u nekom od priloga navedenih na kraju ovog rada.</w:t>
      </w:r>
    </w:p>
    <w:p w:rsidR="00795BE3" w:rsidRDefault="00795BE3" w:rsidP="004722D0">
      <w:pPr>
        <w:spacing w:after="0" w:line="20" w:lineRule="atLeast"/>
        <w:rPr>
          <w:rFonts w:ascii="Times New Roman" w:hAnsi="Times New Roman"/>
          <w:sz w:val="24"/>
          <w:szCs w:val="24"/>
        </w:rPr>
      </w:pPr>
    </w:p>
    <w:p w:rsidR="00795BE3" w:rsidRPr="00E63D70" w:rsidRDefault="00795BE3" w:rsidP="004722D0">
      <w:pPr>
        <w:spacing w:after="0" w:line="20" w:lineRule="atLeast"/>
        <w:rPr>
          <w:rFonts w:ascii="Times New Roman" w:hAnsi="Times New Roman"/>
          <w:sz w:val="24"/>
          <w:szCs w:val="24"/>
        </w:rPr>
      </w:pPr>
    </w:p>
    <w:p w:rsidR="00795BE3" w:rsidRPr="00E63D70" w:rsidRDefault="00795BE3" w:rsidP="006D040C">
      <w:pPr>
        <w:shd w:val="clear" w:color="auto" w:fill="FFFFFF"/>
        <w:spacing w:after="0" w:line="20" w:lineRule="atLeast"/>
        <w:jc w:val="right"/>
        <w:rPr>
          <w:rFonts w:ascii="Times New Roman" w:hAnsi="Times New Roman"/>
          <w:sz w:val="24"/>
          <w:szCs w:val="24"/>
          <w:lang w:eastAsia="hr-HR"/>
        </w:rPr>
      </w:pPr>
      <w:r w:rsidRPr="00E63D70">
        <w:rPr>
          <w:rFonts w:ascii="Times New Roman" w:hAnsi="Times New Roman"/>
          <w:sz w:val="24"/>
          <w:szCs w:val="24"/>
          <w:lang w:eastAsia="hr-HR"/>
        </w:rPr>
        <w:t>NAČELNIK</w:t>
      </w:r>
    </w:p>
    <w:p w:rsidR="00795BE3" w:rsidRPr="00E63D70" w:rsidRDefault="00795BE3" w:rsidP="006D040C">
      <w:pPr>
        <w:shd w:val="clear" w:color="auto" w:fill="FFFFFF"/>
        <w:spacing w:after="0" w:line="20" w:lineRule="atLeast"/>
        <w:jc w:val="right"/>
        <w:rPr>
          <w:rFonts w:ascii="Times New Roman" w:hAnsi="Times New Roman"/>
          <w:sz w:val="24"/>
          <w:szCs w:val="24"/>
          <w:lang w:eastAsia="hr-HR"/>
        </w:rPr>
      </w:pPr>
    </w:p>
    <w:p w:rsidR="00795BE3" w:rsidRPr="00E63D70" w:rsidRDefault="00795BE3" w:rsidP="006D040C">
      <w:pPr>
        <w:pStyle w:val="NormalWeb"/>
        <w:spacing w:before="0" w:beforeAutospacing="0" w:after="0"/>
      </w:pPr>
      <w:r w:rsidRPr="00E63D70">
        <w:t>Prijedlog Odluke izradio: Mario Marinović</w:t>
      </w:r>
    </w:p>
    <w:p w:rsidR="00795BE3" w:rsidRPr="00E63D70" w:rsidRDefault="00795BE3" w:rsidP="006D040C">
      <w:pPr>
        <w:rPr>
          <w:rFonts w:ascii="Times New Roman" w:hAnsi="Times New Roman"/>
          <w:sz w:val="24"/>
          <w:szCs w:val="24"/>
        </w:rPr>
      </w:pPr>
    </w:p>
    <w:p w:rsidR="00795BE3" w:rsidRPr="00E63D70" w:rsidRDefault="00795BE3" w:rsidP="006D040C">
      <w:pPr>
        <w:shd w:val="clear" w:color="auto" w:fill="FFFFFF"/>
        <w:spacing w:after="0" w:line="20" w:lineRule="atLeast"/>
        <w:jc w:val="both"/>
        <w:rPr>
          <w:rFonts w:ascii="Times New Roman" w:hAnsi="Times New Roman"/>
          <w:sz w:val="24"/>
          <w:szCs w:val="24"/>
          <w:lang w:eastAsia="hr-HR"/>
        </w:rPr>
      </w:pPr>
    </w:p>
    <w:sectPr w:rsidR="00795BE3" w:rsidRPr="00E63D70" w:rsidSect="00CA0D37">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3C5B"/>
    <w:multiLevelType w:val="hybridMultilevel"/>
    <w:tmpl w:val="79E0FCAC"/>
    <w:lvl w:ilvl="0" w:tplc="041A000F">
      <w:start w:val="1"/>
      <w:numFmt w:val="decimal"/>
      <w:lvlText w:val="%1."/>
      <w:lvlJc w:val="left"/>
      <w:pPr>
        <w:tabs>
          <w:tab w:val="num" w:pos="720"/>
        </w:tabs>
        <w:ind w:left="720" w:hanging="360"/>
      </w:pPr>
      <w:rPr>
        <w:rFonts w:cs="Times New Roman"/>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1">
    <w:nsid w:val="05163DBF"/>
    <w:multiLevelType w:val="multilevel"/>
    <w:tmpl w:val="FEFCC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AF163B0"/>
    <w:multiLevelType w:val="multilevel"/>
    <w:tmpl w:val="6B02B13C"/>
    <w:lvl w:ilvl="0">
      <w:start w:val="1"/>
      <w:numFmt w:val="decimal"/>
      <w:lvlText w:val="%1."/>
      <w:lvlJc w:val="left"/>
      <w:pPr>
        <w:tabs>
          <w:tab w:val="num" w:pos="720"/>
        </w:tabs>
        <w:ind w:left="720" w:hanging="360"/>
      </w:pPr>
      <w:rPr>
        <w:rFonts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nsid w:val="0DDC67C6"/>
    <w:multiLevelType w:val="multilevel"/>
    <w:tmpl w:val="E662C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0E43BDE"/>
    <w:multiLevelType w:val="multilevel"/>
    <w:tmpl w:val="CE6C7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3F8525A"/>
    <w:multiLevelType w:val="multilevel"/>
    <w:tmpl w:val="2FAE76B2"/>
    <w:lvl w:ilvl="0">
      <w:start w:val="1"/>
      <w:numFmt w:val="decimal"/>
      <w:lvlText w:val="%1."/>
      <w:lvlJc w:val="left"/>
      <w:pPr>
        <w:tabs>
          <w:tab w:val="num" w:pos="720"/>
        </w:tabs>
        <w:ind w:left="720" w:hanging="360"/>
      </w:pPr>
      <w:rPr>
        <w:rFonts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6">
    <w:nsid w:val="37E5138D"/>
    <w:multiLevelType w:val="multilevel"/>
    <w:tmpl w:val="9C3C2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ACC175D"/>
    <w:multiLevelType w:val="multilevel"/>
    <w:tmpl w:val="0CDC9F2E"/>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8">
    <w:nsid w:val="637957CB"/>
    <w:multiLevelType w:val="multilevel"/>
    <w:tmpl w:val="98848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5C92FCB"/>
    <w:multiLevelType w:val="multilevel"/>
    <w:tmpl w:val="56B4BB2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0">
    <w:nsid w:val="6849192E"/>
    <w:multiLevelType w:val="multilevel"/>
    <w:tmpl w:val="4D2AD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EC66158"/>
    <w:multiLevelType w:val="hybridMultilevel"/>
    <w:tmpl w:val="687839A2"/>
    <w:lvl w:ilvl="0" w:tplc="041A000F">
      <w:start w:val="1"/>
      <w:numFmt w:val="decimal"/>
      <w:lvlText w:val="%1."/>
      <w:lvlJc w:val="left"/>
      <w:pPr>
        <w:tabs>
          <w:tab w:val="num" w:pos="720"/>
        </w:tabs>
        <w:ind w:left="720" w:hanging="360"/>
      </w:pPr>
      <w:rPr>
        <w:rFonts w:cs="Times New Roman"/>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12">
    <w:nsid w:val="7AB37E1F"/>
    <w:multiLevelType w:val="multilevel"/>
    <w:tmpl w:val="9604A6D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1"/>
  </w:num>
  <w:num w:numId="2">
    <w:abstractNumId w:val="5"/>
  </w:num>
  <w:num w:numId="3">
    <w:abstractNumId w:val="12"/>
  </w:num>
  <w:num w:numId="4">
    <w:abstractNumId w:val="7"/>
  </w:num>
  <w:num w:numId="5">
    <w:abstractNumId w:val="3"/>
  </w:num>
  <w:num w:numId="6">
    <w:abstractNumId w:val="8"/>
  </w:num>
  <w:num w:numId="7">
    <w:abstractNumId w:val="4"/>
  </w:num>
  <w:num w:numId="8">
    <w:abstractNumId w:val="2"/>
  </w:num>
  <w:num w:numId="9">
    <w:abstractNumId w:val="9"/>
  </w:num>
  <w:num w:numId="10">
    <w:abstractNumId w:val="6"/>
  </w:num>
  <w:num w:numId="11">
    <w:abstractNumId w:val="10"/>
  </w:num>
  <w:num w:numId="12">
    <w:abstractNumId w:val="0"/>
  </w:num>
  <w:num w:numId="1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F0539"/>
    <w:rsid w:val="000C620A"/>
    <w:rsid w:val="000E5878"/>
    <w:rsid w:val="000E5CF1"/>
    <w:rsid w:val="00111B6B"/>
    <w:rsid w:val="001152B0"/>
    <w:rsid w:val="001A3538"/>
    <w:rsid w:val="001F5D27"/>
    <w:rsid w:val="00201D5F"/>
    <w:rsid w:val="0027295D"/>
    <w:rsid w:val="002C58C5"/>
    <w:rsid w:val="002C5CFE"/>
    <w:rsid w:val="002D29BA"/>
    <w:rsid w:val="002D7A63"/>
    <w:rsid w:val="002F0025"/>
    <w:rsid w:val="002F5302"/>
    <w:rsid w:val="00301756"/>
    <w:rsid w:val="0032394E"/>
    <w:rsid w:val="00336D44"/>
    <w:rsid w:val="00360A46"/>
    <w:rsid w:val="00363F61"/>
    <w:rsid w:val="003C715B"/>
    <w:rsid w:val="003D3CDA"/>
    <w:rsid w:val="00435EC9"/>
    <w:rsid w:val="004722D0"/>
    <w:rsid w:val="00497AD3"/>
    <w:rsid w:val="004A5336"/>
    <w:rsid w:val="004E4E39"/>
    <w:rsid w:val="0050081F"/>
    <w:rsid w:val="005350DC"/>
    <w:rsid w:val="00545714"/>
    <w:rsid w:val="00547573"/>
    <w:rsid w:val="00565DF8"/>
    <w:rsid w:val="00677B22"/>
    <w:rsid w:val="006D040C"/>
    <w:rsid w:val="006D77D6"/>
    <w:rsid w:val="006E1652"/>
    <w:rsid w:val="00706A9D"/>
    <w:rsid w:val="00711C7E"/>
    <w:rsid w:val="00715A51"/>
    <w:rsid w:val="00721D2A"/>
    <w:rsid w:val="007416CA"/>
    <w:rsid w:val="00751F76"/>
    <w:rsid w:val="00752792"/>
    <w:rsid w:val="00762BC9"/>
    <w:rsid w:val="00795BE3"/>
    <w:rsid w:val="007B2FAD"/>
    <w:rsid w:val="007C64DC"/>
    <w:rsid w:val="007D31EC"/>
    <w:rsid w:val="00801E98"/>
    <w:rsid w:val="00807E59"/>
    <w:rsid w:val="008F0539"/>
    <w:rsid w:val="00907A0D"/>
    <w:rsid w:val="00953A31"/>
    <w:rsid w:val="009948C7"/>
    <w:rsid w:val="009C174F"/>
    <w:rsid w:val="009C3802"/>
    <w:rsid w:val="00A36CD0"/>
    <w:rsid w:val="00A42CF8"/>
    <w:rsid w:val="00A6016F"/>
    <w:rsid w:val="00A65865"/>
    <w:rsid w:val="00A96E4A"/>
    <w:rsid w:val="00AC45CD"/>
    <w:rsid w:val="00AF238A"/>
    <w:rsid w:val="00B20A39"/>
    <w:rsid w:val="00B21CBE"/>
    <w:rsid w:val="00B60C81"/>
    <w:rsid w:val="00B714EE"/>
    <w:rsid w:val="00B82271"/>
    <w:rsid w:val="00BC43C7"/>
    <w:rsid w:val="00BD2A2D"/>
    <w:rsid w:val="00BD422C"/>
    <w:rsid w:val="00C078DD"/>
    <w:rsid w:val="00C20B19"/>
    <w:rsid w:val="00C36A0B"/>
    <w:rsid w:val="00C42E62"/>
    <w:rsid w:val="00C527D8"/>
    <w:rsid w:val="00C708B6"/>
    <w:rsid w:val="00C76621"/>
    <w:rsid w:val="00CA0D37"/>
    <w:rsid w:val="00CD0097"/>
    <w:rsid w:val="00CD32AF"/>
    <w:rsid w:val="00CD6326"/>
    <w:rsid w:val="00CE16B2"/>
    <w:rsid w:val="00CE2F67"/>
    <w:rsid w:val="00CF1EBB"/>
    <w:rsid w:val="00D11970"/>
    <w:rsid w:val="00D15DBA"/>
    <w:rsid w:val="00D346FF"/>
    <w:rsid w:val="00D43243"/>
    <w:rsid w:val="00D43582"/>
    <w:rsid w:val="00DA5625"/>
    <w:rsid w:val="00DB4096"/>
    <w:rsid w:val="00DB6217"/>
    <w:rsid w:val="00DD7963"/>
    <w:rsid w:val="00DE24BD"/>
    <w:rsid w:val="00DE668B"/>
    <w:rsid w:val="00E5526F"/>
    <w:rsid w:val="00E63D70"/>
    <w:rsid w:val="00E65909"/>
    <w:rsid w:val="00E70262"/>
    <w:rsid w:val="00ED6F1E"/>
    <w:rsid w:val="00EE36A5"/>
    <w:rsid w:val="00EF7ABC"/>
    <w:rsid w:val="00F37490"/>
    <w:rsid w:val="00F70789"/>
    <w:rsid w:val="00FA1674"/>
    <w:rsid w:val="00FA2907"/>
    <w:rsid w:val="00FA74E8"/>
    <w:rsid w:val="00FC3214"/>
    <w:rsid w:val="00FF5130"/>
  </w:rsids>
  <m:mathPr>
    <m:mathFont m:val="Cambria Math"/>
    <m:brkBin m:val="before"/>
    <m:brkBinSub m:val="--"/>
    <m:smallFrac m:val="off"/>
    <m:dispDef/>
    <m:lMargin m:val="0"/>
    <m:rMargin m:val="0"/>
    <m:defJc m:val="centerGroup"/>
    <m:wrapIndent m:val="1440"/>
    <m:intLim m:val="subSup"/>
    <m:naryLim m:val="undOvr"/>
  </m:mathPr>
  <w:uiCompat97To2003/>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hr-HR" w:eastAsia="hr-H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3CDA"/>
    <w:pPr>
      <w:spacing w:after="200" w:line="276" w:lineRule="auto"/>
    </w:pPr>
    <w:rPr>
      <w:lang w:eastAsia="en-US"/>
    </w:rPr>
  </w:style>
  <w:style w:type="paragraph" w:styleId="Heading1">
    <w:name w:val="heading 1"/>
    <w:basedOn w:val="Normal"/>
    <w:next w:val="Normal"/>
    <w:link w:val="Heading1Char"/>
    <w:uiPriority w:val="99"/>
    <w:qFormat/>
    <w:locked/>
    <w:rsid w:val="00C527D8"/>
    <w:pPr>
      <w:keepNext/>
      <w:spacing w:before="240" w:after="60"/>
      <w:outlineLvl w:val="0"/>
    </w:pPr>
    <w:rPr>
      <w:rFonts w:ascii="Arial" w:hAnsi="Arial" w:cs="Arial"/>
      <w:b/>
      <w:bCs/>
      <w:kern w:val="32"/>
      <w:sz w:val="32"/>
      <w:szCs w:val="32"/>
    </w:rPr>
  </w:style>
  <w:style w:type="paragraph" w:styleId="Heading2">
    <w:name w:val="heading 2"/>
    <w:basedOn w:val="Normal"/>
    <w:link w:val="Heading2Char"/>
    <w:uiPriority w:val="99"/>
    <w:qFormat/>
    <w:locked/>
    <w:rsid w:val="000C620A"/>
    <w:pPr>
      <w:spacing w:before="100" w:beforeAutospacing="1" w:after="100" w:afterAutospacing="1" w:line="240" w:lineRule="auto"/>
      <w:outlineLvl w:val="1"/>
    </w:pPr>
    <w:rPr>
      <w:rFonts w:ascii="Times New Roman" w:hAnsi="Times New Roman"/>
      <w:b/>
      <w:bCs/>
      <w:sz w:val="36"/>
      <w:szCs w:val="36"/>
      <w:lang w:eastAsia="hr-HR"/>
    </w:rPr>
  </w:style>
  <w:style w:type="paragraph" w:styleId="Heading3">
    <w:name w:val="heading 3"/>
    <w:basedOn w:val="Normal"/>
    <w:link w:val="Heading3Char"/>
    <w:uiPriority w:val="99"/>
    <w:qFormat/>
    <w:locked/>
    <w:rsid w:val="000C620A"/>
    <w:pPr>
      <w:spacing w:before="100" w:beforeAutospacing="1" w:after="100" w:afterAutospacing="1" w:line="240" w:lineRule="auto"/>
      <w:outlineLvl w:val="2"/>
    </w:pPr>
    <w:rPr>
      <w:rFonts w:ascii="Times New Roman" w:hAnsi="Times New Roman"/>
      <w:b/>
      <w:bCs/>
      <w:sz w:val="27"/>
      <w:szCs w:val="27"/>
      <w:lang w:eastAsia="hr-HR"/>
    </w:rPr>
  </w:style>
  <w:style w:type="paragraph" w:styleId="Heading4">
    <w:name w:val="heading 4"/>
    <w:basedOn w:val="Normal"/>
    <w:link w:val="Heading4Char"/>
    <w:uiPriority w:val="99"/>
    <w:qFormat/>
    <w:locked/>
    <w:rsid w:val="000C620A"/>
    <w:pPr>
      <w:spacing w:before="100" w:beforeAutospacing="1" w:after="100" w:afterAutospacing="1" w:line="240" w:lineRule="auto"/>
      <w:outlineLvl w:val="3"/>
    </w:pPr>
    <w:rPr>
      <w:rFonts w:ascii="Times New Roman" w:hAnsi="Times New Roman"/>
      <w:b/>
      <w:bCs/>
      <w:sz w:val="24"/>
      <w:szCs w:val="24"/>
      <w:lang w:eastAsia="hr-HR"/>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CE16B2"/>
    <w:rPr>
      <w:rFonts w:ascii="Cambria" w:hAnsi="Cambria" w:cs="Times New Roman"/>
      <w:b/>
      <w:bCs/>
      <w:kern w:val="32"/>
      <w:sz w:val="32"/>
      <w:szCs w:val="32"/>
      <w:lang w:eastAsia="en-US"/>
    </w:rPr>
  </w:style>
  <w:style w:type="character" w:customStyle="1" w:styleId="Heading2Char">
    <w:name w:val="Heading 2 Char"/>
    <w:basedOn w:val="DefaultParagraphFont"/>
    <w:link w:val="Heading2"/>
    <w:uiPriority w:val="99"/>
    <w:semiHidden/>
    <w:locked/>
    <w:rsid w:val="00CE16B2"/>
    <w:rPr>
      <w:rFonts w:ascii="Cambria" w:hAnsi="Cambria" w:cs="Times New Roman"/>
      <w:b/>
      <w:bCs/>
      <w:i/>
      <w:iCs/>
      <w:sz w:val="28"/>
      <w:szCs w:val="28"/>
      <w:lang w:eastAsia="en-US"/>
    </w:rPr>
  </w:style>
  <w:style w:type="character" w:customStyle="1" w:styleId="Heading3Char">
    <w:name w:val="Heading 3 Char"/>
    <w:basedOn w:val="DefaultParagraphFont"/>
    <w:link w:val="Heading3"/>
    <w:uiPriority w:val="99"/>
    <w:semiHidden/>
    <w:locked/>
    <w:rsid w:val="00CE16B2"/>
    <w:rPr>
      <w:rFonts w:ascii="Cambria" w:hAnsi="Cambria" w:cs="Times New Roman"/>
      <w:b/>
      <w:bCs/>
      <w:sz w:val="26"/>
      <w:szCs w:val="26"/>
      <w:lang w:eastAsia="en-US"/>
    </w:rPr>
  </w:style>
  <w:style w:type="character" w:customStyle="1" w:styleId="Heading4Char">
    <w:name w:val="Heading 4 Char"/>
    <w:basedOn w:val="DefaultParagraphFont"/>
    <w:link w:val="Heading4"/>
    <w:uiPriority w:val="99"/>
    <w:semiHidden/>
    <w:locked/>
    <w:rsid w:val="00CE16B2"/>
    <w:rPr>
      <w:rFonts w:ascii="Calibri" w:hAnsi="Calibri" w:cs="Times New Roman"/>
      <w:b/>
      <w:bCs/>
      <w:sz w:val="28"/>
      <w:szCs w:val="28"/>
      <w:lang w:eastAsia="en-US"/>
    </w:rPr>
  </w:style>
  <w:style w:type="paragraph" w:styleId="BalloonText">
    <w:name w:val="Balloon Text"/>
    <w:basedOn w:val="Normal"/>
    <w:link w:val="BalloonTextChar"/>
    <w:uiPriority w:val="99"/>
    <w:semiHidden/>
    <w:rsid w:val="005475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47573"/>
    <w:rPr>
      <w:rFonts w:ascii="Tahoma" w:hAnsi="Tahoma" w:cs="Tahoma"/>
      <w:sz w:val="16"/>
      <w:szCs w:val="16"/>
    </w:rPr>
  </w:style>
  <w:style w:type="paragraph" w:styleId="NormalWeb">
    <w:name w:val="Normal (Web)"/>
    <w:basedOn w:val="Normal"/>
    <w:uiPriority w:val="99"/>
    <w:rsid w:val="000C620A"/>
    <w:pPr>
      <w:spacing w:before="100" w:beforeAutospacing="1" w:after="100" w:afterAutospacing="1" w:line="240" w:lineRule="auto"/>
    </w:pPr>
    <w:rPr>
      <w:rFonts w:ascii="Times New Roman" w:hAnsi="Times New Roman"/>
      <w:sz w:val="24"/>
      <w:szCs w:val="24"/>
      <w:lang w:eastAsia="hr-HR"/>
    </w:rPr>
  </w:style>
  <w:style w:type="character" w:styleId="Strong">
    <w:name w:val="Strong"/>
    <w:basedOn w:val="DefaultParagraphFont"/>
    <w:uiPriority w:val="99"/>
    <w:qFormat/>
    <w:locked/>
    <w:rsid w:val="000C620A"/>
    <w:rPr>
      <w:rFonts w:cs="Times New Roman"/>
      <w:b/>
      <w:bCs/>
    </w:rPr>
  </w:style>
  <w:style w:type="character" w:customStyle="1" w:styleId="relative-mx-pxmy--02remroundedpx-pxpy-02remtransition-colorsduration-100ease-in-out">
    <w:name w:val="relative -mx-px my-[-0.2rem] rounded px-px py-[0.2rem] transition-colors duration-100 ease-in-out"/>
    <w:basedOn w:val="DefaultParagraphFont"/>
    <w:uiPriority w:val="99"/>
    <w:rsid w:val="000C620A"/>
    <w:rPr>
      <w:rFonts w:cs="Times New Roman"/>
    </w:rPr>
  </w:style>
  <w:style w:type="character" w:customStyle="1" w:styleId="ms-1inline-flexmax-w-fullitems-centerrelativetop--0094remanimate-show150msease-in">
    <w:name w:val="ms-1 inline-flex max-w-full items-center relative top-[-0.094rem] animate-[show_150ms_ease-in]"/>
    <w:basedOn w:val="DefaultParagraphFont"/>
    <w:uiPriority w:val="99"/>
    <w:rsid w:val="000C620A"/>
    <w:rPr>
      <w:rFonts w:cs="Times New Roman"/>
    </w:rPr>
  </w:style>
  <w:style w:type="character" w:customStyle="1" w:styleId="max-w-fullgrowtruncateoverflow-hiddentext-center">
    <w:name w:val="max-w-full grow truncate overflow-hidden text-center"/>
    <w:basedOn w:val="DefaultParagraphFont"/>
    <w:uiPriority w:val="99"/>
    <w:rsid w:val="000C620A"/>
    <w:rPr>
      <w:rFonts w:cs="Times New Roman"/>
    </w:rPr>
  </w:style>
  <w:style w:type="character" w:customStyle="1" w:styleId="-me-1flexh-fullitems-centerrounded-fullpx-1text-8f8f8f">
    <w:name w:val="-me-1 flex h-full items-center rounded-full px-1 text-[#8f8f8f]"/>
    <w:basedOn w:val="DefaultParagraphFont"/>
    <w:uiPriority w:val="99"/>
    <w:rsid w:val="000C620A"/>
    <w:rPr>
      <w:rFonts w:cs="Times New Roman"/>
    </w:rPr>
  </w:style>
  <w:style w:type="character" w:styleId="Emphasis">
    <w:name w:val="Emphasis"/>
    <w:basedOn w:val="DefaultParagraphFont"/>
    <w:uiPriority w:val="99"/>
    <w:qFormat/>
    <w:locked/>
    <w:rsid w:val="000C620A"/>
    <w:rPr>
      <w:rFonts w:cs="Times New Roman"/>
      <w:i/>
      <w:iCs/>
    </w:rPr>
  </w:style>
</w:styles>
</file>

<file path=word/webSettings.xml><?xml version="1.0" encoding="utf-8"?>
<w:webSettings xmlns:r="http://schemas.openxmlformats.org/officeDocument/2006/relationships" xmlns:w="http://schemas.openxmlformats.org/wordprocessingml/2006/main">
  <w:divs>
    <w:div w:id="28342905">
      <w:marLeft w:val="0"/>
      <w:marRight w:val="0"/>
      <w:marTop w:val="0"/>
      <w:marBottom w:val="0"/>
      <w:divBdr>
        <w:top w:val="none" w:sz="0" w:space="0" w:color="auto"/>
        <w:left w:val="none" w:sz="0" w:space="0" w:color="auto"/>
        <w:bottom w:val="none" w:sz="0" w:space="0" w:color="auto"/>
        <w:right w:val="none" w:sz="0" w:space="0" w:color="auto"/>
      </w:divBdr>
    </w:div>
    <w:div w:id="28342907">
      <w:marLeft w:val="0"/>
      <w:marRight w:val="0"/>
      <w:marTop w:val="0"/>
      <w:marBottom w:val="0"/>
      <w:divBdr>
        <w:top w:val="none" w:sz="0" w:space="0" w:color="auto"/>
        <w:left w:val="none" w:sz="0" w:space="0" w:color="auto"/>
        <w:bottom w:val="none" w:sz="0" w:space="0" w:color="auto"/>
        <w:right w:val="none" w:sz="0" w:space="0" w:color="auto"/>
      </w:divBdr>
      <w:divsChild>
        <w:div w:id="28342906">
          <w:marLeft w:val="0"/>
          <w:marRight w:val="0"/>
          <w:marTop w:val="0"/>
          <w:marBottom w:val="0"/>
          <w:divBdr>
            <w:top w:val="none" w:sz="0" w:space="0" w:color="auto"/>
            <w:left w:val="none" w:sz="0" w:space="0" w:color="auto"/>
            <w:bottom w:val="none" w:sz="0" w:space="0" w:color="auto"/>
            <w:right w:val="none" w:sz="0" w:space="0" w:color="auto"/>
          </w:divBdr>
          <w:divsChild>
            <w:div w:id="28342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3429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105</TotalTime>
  <Pages>7</Pages>
  <Words>2536</Words>
  <Characters>14457</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Sanja</dc:creator>
  <cp:keywords/>
  <dc:description/>
  <cp:lastModifiedBy>Windows User</cp:lastModifiedBy>
  <cp:revision>13</cp:revision>
  <cp:lastPrinted>2025-08-07T09:32:00Z</cp:lastPrinted>
  <dcterms:created xsi:type="dcterms:W3CDTF">2025-08-07T09:10:00Z</dcterms:created>
  <dcterms:modified xsi:type="dcterms:W3CDTF">2025-08-14T07:33:00Z</dcterms:modified>
</cp:coreProperties>
</file>