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tabs>
          <w:tab w:val="clear" w:pos="708"/>
          <w:tab w:val="left" w:pos="1980" w:leader="none"/>
        </w:tabs>
        <w:rPr>
          <w:rFonts w:ascii="Times New Roman" w:hAnsi="Times New Roman"/>
        </w:rPr>
      </w:pPr>
      <w:r>
        <w:rPr/>
        <w:drawing>
          <wp:inline distT="0" distB="0" distL="0" distR="0">
            <wp:extent cx="444500" cy="565150"/>
            <wp:effectExtent l="0" t="0" r="0" b="0"/>
            <wp:docPr id="1" name="Slika 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Slika 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4500" cy="565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  <w:t xml:space="preserve">      </w:t>
      </w:r>
      <w:r>
        <w:rPr>
          <w:rFonts w:ascii="Times New Roman" w:hAnsi="Times New Roman"/>
          <w:b/>
          <w:sz w:val="24"/>
          <w:szCs w:val="24"/>
        </w:rPr>
        <w:t>OPĆINA BLATO</w:t>
      </w:r>
      <w:r>
        <w:rPr>
          <w:rFonts w:ascii="Times New Roman" w:hAnsi="Times New Roman"/>
        </w:rPr>
        <w:t xml:space="preserve">            </w:t>
      </w:r>
    </w:p>
    <w:tbl>
      <w:tblPr>
        <w:tblpPr w:bottomFromText="0" w:horzAnchor="margin" w:leftFromText="180" w:rightFromText="180" w:tblpX="0" w:tblpY="2188" w:topFromText="0" w:vertAnchor="page"/>
        <w:tblW w:w="8916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290"/>
        <w:gridCol w:w="2878"/>
        <w:gridCol w:w="2748"/>
      </w:tblGrid>
      <w:tr>
        <w:trPr/>
        <w:tc>
          <w:tcPr>
            <w:tcW w:w="8916" w:type="dxa"/>
            <w:gridSpan w:val="3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hd w:val="clear" w:color="auto" w:fill="D9D9D9"/>
              <w:spacing w:lineRule="auto" w:line="240" w:before="0" w:after="0"/>
              <w:ind w:left="-123" w:right="-108" w:hanging="0"/>
              <w:jc w:val="center"/>
              <w:rPr>
                <w:rFonts w:ascii="Times New Roman" w:hAnsi="Times New Roman"/>
                <w:b/>
                <w:b/>
              </w:rPr>
            </w:pPr>
            <w:r>
              <w:rPr>
                <w:rFonts w:ascii="Times New Roman" w:hAnsi="Times New Roman"/>
                <w:b/>
              </w:rPr>
              <w:t>IZVJEŠĆE O PROVEDENOM SAVJETOVANJU</w:t>
            </w:r>
          </w:p>
          <w:p>
            <w:pPr>
              <w:pStyle w:val="Normal"/>
              <w:shd w:val="clear" w:color="auto" w:fill="D9D9D9"/>
              <w:spacing w:lineRule="auto" w:line="240" w:before="0" w:after="0"/>
              <w:ind w:left="-123" w:right="-123" w:hanging="0"/>
              <w:jc w:val="center"/>
              <w:rPr>
                <w:rFonts w:ascii="Times New Roman" w:hAnsi="Times New Roman"/>
                <w:b/>
                <w:b/>
              </w:rPr>
            </w:pPr>
            <w:r>
              <w:rPr>
                <w:rFonts w:ascii="Times New Roman" w:hAnsi="Times New Roman"/>
                <w:b/>
              </w:rPr>
              <w:t>SA ZAINTERESIRANOM JAVNOŠĆU</w:t>
            </w:r>
          </w:p>
        </w:tc>
      </w:tr>
      <w:tr>
        <w:trPr/>
        <w:tc>
          <w:tcPr>
            <w:tcW w:w="3290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Naziv nacrta Odluke, drugog općeg akta ili dokumenta</w:t>
            </w:r>
          </w:p>
        </w:tc>
        <w:tc>
          <w:tcPr>
            <w:tcW w:w="5626" w:type="dxa"/>
            <w:gridSpan w:val="2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before="0" w:after="20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Nacrt prijedlo</w:t>
            </w:r>
            <w:r>
              <w:rPr>
                <w:rFonts w:ascii="Times New Roman" w:hAnsi="Times New Roman"/>
                <w:b w:val="false"/>
                <w:bCs w:val="false"/>
                <w:sz w:val="22"/>
                <w:szCs w:val="22"/>
              </w:rPr>
              <w:t xml:space="preserve">ga </w:t>
            </w:r>
            <w:r>
              <w:rPr>
                <w:rFonts w:cs="Times New Roman" w:ascii="Times New Roman" w:hAnsi="Times New Roman"/>
                <w:b w:val="false"/>
                <w:bCs w:val="false"/>
                <w:sz w:val="22"/>
                <w:szCs w:val="22"/>
              </w:rPr>
              <w:t xml:space="preserve">Odluke o izmjenama i dopunama Odluke o </w:t>
            </w:r>
            <w:r>
              <w:rPr>
                <w:rFonts w:eastAsia="Calibri" w:cs="Times New Roman" w:ascii="Times New Roman" w:hAnsi="Times New Roman"/>
                <w:b w:val="false"/>
                <w:bCs w:val="false"/>
                <w:color w:val="auto"/>
                <w:sz w:val="22"/>
                <w:szCs w:val="22"/>
                <w:lang w:val="hr-HR" w:eastAsia="zh-CN" w:bidi="ar-SA"/>
              </w:rPr>
              <w:t>komunalnoj infrastrukturi</w:t>
            </w:r>
            <w:r>
              <w:rPr>
                <w:rFonts w:cs="Times New Roman" w:ascii="Times New Roman" w:hAnsi="Times New Roman"/>
                <w:b w:val="false"/>
                <w:bCs w:val="false"/>
                <w:sz w:val="22"/>
                <w:szCs w:val="22"/>
              </w:rPr>
              <w:t xml:space="preserve"> Općine Blato</w:t>
            </w:r>
          </w:p>
        </w:tc>
      </w:tr>
      <w:tr>
        <w:trPr/>
        <w:tc>
          <w:tcPr>
            <w:tcW w:w="3290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Stvaratelj Odluke, drugog općeg akta ili dokumenta, tijelo koje provodi savjetovanje</w:t>
            </w:r>
          </w:p>
        </w:tc>
        <w:tc>
          <w:tcPr>
            <w:tcW w:w="5626" w:type="dxa"/>
            <w:gridSpan w:val="2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 xml:space="preserve">Općina Blato, </w:t>
            </w:r>
            <w:r>
              <w:rPr>
                <w:rFonts w:cs="Times New Roman" w:ascii="Times New Roman" w:hAnsi="Times New Roman"/>
                <w:color w:val="000000"/>
                <w:sz w:val="22"/>
                <w:szCs w:val="22"/>
              </w:rPr>
              <w:t xml:space="preserve">Upravni odjel </w:t>
            </w:r>
            <w:r>
              <w:rPr>
                <w:rFonts w:eastAsia="Calibri" w:cs="Times New Roman" w:ascii="Times New Roman" w:hAnsi="Times New Roman"/>
                <w:color w:val="000000"/>
                <w:sz w:val="22"/>
                <w:szCs w:val="22"/>
                <w:lang w:val="hr-HR" w:eastAsia="zh-CN" w:bidi="ar-SA"/>
              </w:rPr>
              <w:t>komunalne djelatnosti, infrastrukturu, gospodarenje prostorom i zaštitu okoliša</w:t>
            </w:r>
          </w:p>
        </w:tc>
      </w:tr>
      <w:tr>
        <w:trPr/>
        <w:tc>
          <w:tcPr>
            <w:tcW w:w="3290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Cilj i glavne teme savjetovanja</w:t>
            </w:r>
          </w:p>
        </w:tc>
        <w:tc>
          <w:tcPr>
            <w:tcW w:w="5626" w:type="dxa"/>
            <w:gridSpan w:val="2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before="0" w:after="120"/>
              <w:jc w:val="both"/>
              <w:rPr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Temeljem članka 11. Zakona o pravu na pristup informacijama („Narodne novine“ br. 25/13, 85/15, 69/22), jedinice lokalne samouprave dužne su provoditi savjetovanje s javnošću pri donošenju općih akata odnosno drugih strateških ili planskih dokumenata kad se njima utječe na interes građana i pravnih osoba.</w:t>
            </w:r>
          </w:p>
          <w:p>
            <w:pPr>
              <w:pStyle w:val="Normal"/>
              <w:spacing w:before="0" w:after="120"/>
              <w:jc w:val="both"/>
              <w:rPr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lang w:eastAsia="hr-HR"/>
              </w:rPr>
              <w:t xml:space="preserve">Utvrđeno je nekoliko 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hr-HR" w:eastAsia="hr-HR" w:bidi="ar-SA"/>
              </w:rPr>
              <w:t>javnih površina</w:t>
            </w:r>
            <w:r>
              <w:rPr>
                <w:rFonts w:cs="Times New Roman" w:ascii="Times New Roman" w:hAnsi="Times New Roman"/>
                <w:sz w:val="22"/>
                <w:szCs w:val="22"/>
                <w:lang w:eastAsia="hr-HR"/>
              </w:rPr>
              <w:t xml:space="preserve"> koje su bile propuštene u prošlom dodatku te je izvršen ispravak određenih radnji poduzetih u svrhu rješavanja imovinsko pravnih odnosa s obzirom na stvarno stanje.</w:t>
            </w:r>
            <w:r>
              <w:rPr>
                <w:rFonts w:ascii="Times New Roman" w:hAnsi="Times New Roman"/>
                <w:sz w:val="22"/>
                <w:szCs w:val="22"/>
              </w:rPr>
              <w:t xml:space="preserve"> </w:t>
            </w:r>
          </w:p>
        </w:tc>
      </w:tr>
      <w:tr>
        <w:trPr/>
        <w:tc>
          <w:tcPr>
            <w:tcW w:w="3290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Mjesec stvaranja dokumenta</w:t>
            </w:r>
          </w:p>
        </w:tc>
        <w:tc>
          <w:tcPr>
            <w:tcW w:w="5626" w:type="dxa"/>
            <w:gridSpan w:val="2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Kolovoz 2025. godine.</w:t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</w:tr>
      <w:tr>
        <w:trPr/>
        <w:tc>
          <w:tcPr>
            <w:tcW w:w="3290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Je li nacrt bio objavljen na internetskim stranicama ili na drugi odgovarajući način?</w:t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Ako jest, kada je nacrt objavljen, na kojoj internetskoj stranici i koliko vremena je ostavljeno za savjetovanje?</w:t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Ako nije, zašto?</w:t>
            </w:r>
          </w:p>
        </w:tc>
        <w:tc>
          <w:tcPr>
            <w:tcW w:w="5626" w:type="dxa"/>
            <w:gridSpan w:val="2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Nacrt prijedloga je objavljen na internetskim stranicama Općine Blato </w:t>
            </w:r>
            <w:hyperlink r:id="rId3">
              <w:r>
                <w:rPr>
                  <w:rStyle w:val="Internetskapoveznica"/>
                  <w:rFonts w:ascii="Times New Roman" w:hAnsi="Times New Roman"/>
                </w:rPr>
                <w:t>www.blato.hr</w:t>
              </w:r>
            </w:hyperlink>
            <w:r>
              <w:rPr>
                <w:rFonts w:ascii="Times New Roman" w:hAnsi="Times New Roman"/>
              </w:rPr>
              <w:t>.</w:t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Savjetovanje je trajalo od </w:t>
            </w:r>
            <w:r>
              <w:rPr>
                <w:rFonts w:ascii="Times New Roman" w:hAnsi="Times New Roman"/>
                <w:sz w:val="22"/>
                <w:szCs w:val="22"/>
              </w:rPr>
              <w:t xml:space="preserve">21. kolovoza </w:t>
            </w:r>
            <w:r>
              <w:rPr>
                <w:rFonts w:ascii="Times New Roman" w:hAnsi="Times New Roman"/>
              </w:rPr>
              <w:t xml:space="preserve">do </w:t>
            </w:r>
            <w:r>
              <w:rPr>
                <w:rFonts w:ascii="Times New Roman" w:hAnsi="Times New Roman"/>
              </w:rPr>
              <w:t>20</w:t>
            </w:r>
            <w:r>
              <w:rPr>
                <w:rFonts w:ascii="Times New Roman" w:hAnsi="Times New Roman"/>
              </w:rPr>
              <w:t xml:space="preserve">. rujna 2025. godine. </w:t>
            </w:r>
          </w:p>
        </w:tc>
      </w:tr>
      <w:tr>
        <w:trPr/>
        <w:tc>
          <w:tcPr>
            <w:tcW w:w="3290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Koji su predstavnici zainteresirane javnosti dostavili svoja očitovanja odnosno primjedbe?</w:t>
            </w:r>
          </w:p>
        </w:tc>
        <w:tc>
          <w:tcPr>
            <w:tcW w:w="5626" w:type="dxa"/>
            <w:gridSpan w:val="2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Simsun (Founder Extended)"/>
                <w:bCs/>
                <w:lang w:eastAsia="zh-CN"/>
              </w:rPr>
            </w:pPr>
            <w:r>
              <w:rPr>
                <w:rFonts w:eastAsia="Simsun (Founder Extended)" w:ascii="Times New Roman" w:hAnsi="Times New Roman"/>
                <w:bCs/>
                <w:lang w:eastAsia="zh-CN"/>
              </w:rPr>
              <w:t xml:space="preserve">Tijekom savjetovanja sa zainteresiranom javnošću nije pristigla niti jedna primjedba (očitovanje) na Nacrt prijedloga </w:t>
            </w:r>
            <w:r>
              <w:rPr/>
              <w:t xml:space="preserve"> </w:t>
            </w:r>
            <w:r>
              <w:rPr>
                <w:rFonts w:cs="Times New Roman" w:ascii="Times New Roman" w:hAnsi="Times New Roman"/>
                <w:b w:val="false"/>
                <w:bCs w:val="false"/>
                <w:sz w:val="22"/>
                <w:szCs w:val="22"/>
              </w:rPr>
              <w:t xml:space="preserve">Odluke o izmjenama i dopunama Odluke o </w:t>
            </w:r>
            <w:r>
              <w:rPr>
                <w:rFonts w:eastAsia="Calibri" w:cs="Times New Roman" w:ascii="Times New Roman" w:hAnsi="Times New Roman"/>
                <w:b w:val="false"/>
                <w:bCs w:val="false"/>
                <w:color w:val="auto"/>
                <w:sz w:val="22"/>
                <w:szCs w:val="22"/>
                <w:lang w:val="hr-HR" w:eastAsia="zh-CN" w:bidi="ar-SA"/>
              </w:rPr>
              <w:t>komunalnoj infrastrukturi</w:t>
            </w:r>
            <w:r>
              <w:rPr>
                <w:rFonts w:cs="Times New Roman" w:ascii="Times New Roman" w:hAnsi="Times New Roman"/>
                <w:b w:val="false"/>
                <w:bCs w:val="false"/>
                <w:sz w:val="22"/>
                <w:szCs w:val="22"/>
              </w:rPr>
              <w:t xml:space="preserve"> Općine Blato</w:t>
            </w:r>
            <w:r>
              <w:rPr>
                <w:rFonts w:eastAsia="Simsun (Founder Extended)" w:ascii="Times New Roman" w:hAnsi="Times New Roman"/>
                <w:bCs/>
                <w:lang w:eastAsia="zh-CN"/>
              </w:rPr>
              <w:t xml:space="preserve"> od predstavnika zainteresirane javnosti.</w:t>
            </w:r>
          </w:p>
        </w:tc>
      </w:tr>
      <w:tr>
        <w:trPr/>
        <w:tc>
          <w:tcPr>
            <w:tcW w:w="3290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ANALIZA DOSTAVLJENIH PRIMJEDBI</w:t>
            </w:r>
          </w:p>
        </w:tc>
        <w:tc>
          <w:tcPr>
            <w:tcW w:w="5626" w:type="dxa"/>
            <w:gridSpan w:val="2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Simsun (Founder Extended)"/>
                <w:bCs/>
                <w:lang w:eastAsia="zh-CN"/>
              </w:rPr>
            </w:pPr>
            <w:r>
              <w:rPr>
                <w:rFonts w:eastAsia="Simsun (Founder Extended)" w:ascii="Times New Roman" w:hAnsi="Times New Roman"/>
                <w:bCs/>
                <w:lang w:eastAsia="zh-CN"/>
              </w:rPr>
            </w:r>
          </w:p>
        </w:tc>
      </w:tr>
      <w:tr>
        <w:trPr/>
        <w:tc>
          <w:tcPr>
            <w:tcW w:w="3290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Primjedbe koje su prihvaćene</w:t>
            </w:r>
          </w:p>
        </w:tc>
        <w:tc>
          <w:tcPr>
            <w:tcW w:w="5626" w:type="dxa"/>
            <w:gridSpan w:val="2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Simsun (Founder Extended)"/>
                <w:bCs/>
                <w:lang w:eastAsia="zh-CN"/>
              </w:rPr>
            </w:pPr>
            <w:r>
              <w:rPr>
                <w:rFonts w:eastAsia="Simsun (Founder Extended)" w:ascii="Times New Roman" w:hAnsi="Times New Roman"/>
                <w:bCs/>
                <w:lang w:eastAsia="zh-CN"/>
              </w:rPr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Simsun (Founder Extended)"/>
                <w:bCs/>
                <w:lang w:eastAsia="zh-CN"/>
              </w:rPr>
            </w:pPr>
            <w:r>
              <w:rPr>
                <w:rFonts w:eastAsia="Simsun (Founder Extended)" w:ascii="Times New Roman" w:hAnsi="Times New Roman"/>
                <w:bCs/>
                <w:lang w:eastAsia="zh-CN"/>
              </w:rPr>
            </w:r>
          </w:p>
        </w:tc>
      </w:tr>
      <w:tr>
        <w:trPr>
          <w:trHeight w:val="805" w:hRule="atLeast"/>
        </w:trPr>
        <w:tc>
          <w:tcPr>
            <w:tcW w:w="3290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Primjedbe koje nisu prihvaćene i obrazloženje razloga za neprihvaćanje</w:t>
            </w:r>
          </w:p>
        </w:tc>
        <w:tc>
          <w:tcPr>
            <w:tcW w:w="5626" w:type="dxa"/>
            <w:gridSpan w:val="2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Simsun (Founder Extended)"/>
                <w:bCs/>
                <w:lang w:eastAsia="zh-CN"/>
              </w:rPr>
            </w:pPr>
            <w:r>
              <w:rPr>
                <w:rFonts w:eastAsia="Simsun (Founder Extended)" w:ascii="Times New Roman" w:hAnsi="Times New Roman"/>
                <w:bCs/>
                <w:lang w:eastAsia="zh-CN"/>
              </w:rPr>
            </w:r>
          </w:p>
        </w:tc>
      </w:tr>
      <w:tr>
        <w:trPr/>
        <w:tc>
          <w:tcPr>
            <w:tcW w:w="3290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Troškovi provedenog savjetovanja</w:t>
            </w:r>
          </w:p>
        </w:tc>
        <w:tc>
          <w:tcPr>
            <w:tcW w:w="5626" w:type="dxa"/>
            <w:gridSpan w:val="2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/>
              </w:rPr>
            </w:pPr>
            <w:r>
              <w:rPr>
                <w:rFonts w:eastAsia="Simsun (Founder Extended)" w:ascii="Times New Roman" w:hAnsi="Times New Roman"/>
                <w:bCs/>
                <w:lang w:eastAsia="zh-CN"/>
              </w:rPr>
              <w:t>Provedba internetskog savjetovanja nije iskazala dodatne financijske troškove.</w:t>
            </w:r>
          </w:p>
        </w:tc>
      </w:tr>
      <w:tr>
        <w:trPr/>
        <w:tc>
          <w:tcPr>
            <w:tcW w:w="3290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Tko je i kada izradio izvješće o provedenom savjetovanju?</w:t>
            </w:r>
          </w:p>
        </w:tc>
        <w:tc>
          <w:tcPr>
            <w:tcW w:w="2878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Ime i prezime:</w:t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Lydia Berković</w:t>
            </w:r>
          </w:p>
        </w:tc>
        <w:tc>
          <w:tcPr>
            <w:tcW w:w="2748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Datum:</w:t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22</w:t>
            </w:r>
            <w:r>
              <w:rPr>
                <w:rFonts w:ascii="Times New Roman" w:hAnsi="Times New Roman"/>
              </w:rPr>
              <w:t>. rujna 2025. godine</w:t>
            </w:r>
          </w:p>
        </w:tc>
      </w:tr>
    </w:tbl>
    <w:p>
      <w:pPr>
        <w:pStyle w:val="Normal"/>
        <w:spacing w:lineRule="auto" w:line="240" w:before="0" w:after="0"/>
        <w:rPr>
          <w:rFonts w:ascii="Times New Roman" w:hAnsi="Times New Roman"/>
          <w:b/>
          <w:b/>
        </w:rPr>
      </w:pPr>
      <w:r>
        <w:rPr>
          <w:rFonts w:ascii="Times New Roman" w:hAnsi="Times New Roman"/>
          <w:b/>
        </w:rPr>
      </w:r>
    </w:p>
    <w:p>
      <w:pPr>
        <w:pStyle w:val="Podnoje"/>
        <w:rPr>
          <w:rFonts w:ascii="Times New Roman" w:hAnsi="Times New Roman"/>
          <w:i/>
          <w:i/>
          <w:sz w:val="20"/>
          <w:szCs w:val="20"/>
        </w:rPr>
      </w:pPr>
      <w:r>
        <w:rPr>
          <w:rFonts w:ascii="Times New Roman" w:hAnsi="Times New Roman"/>
          <w:i/>
          <w:sz w:val="20"/>
          <w:szCs w:val="20"/>
        </w:rPr>
      </w:r>
    </w:p>
    <w:p>
      <w:pPr>
        <w:pStyle w:val="Podnoje"/>
        <w:rPr>
          <w:b/>
          <w:b/>
          <w:sz w:val="20"/>
          <w:szCs w:val="20"/>
        </w:rPr>
      </w:pPr>
      <w:r>
        <w:rPr>
          <w:rFonts w:ascii="Times New Roman" w:hAnsi="Times New Roman"/>
          <w:b/>
          <w:i/>
          <w:sz w:val="20"/>
          <w:szCs w:val="20"/>
        </w:rPr>
        <w:t>Obrazac br. 3. - Izvješće o provedenom savjetovanju sa zainteresiranom javnošću</w:t>
      </w:r>
    </w:p>
    <w:p>
      <w:pPr>
        <w:pStyle w:val="Normal"/>
        <w:spacing w:lineRule="auto" w:line="240" w:before="0" w:after="0"/>
        <w:rPr>
          <w:rFonts w:ascii="Times New Roman" w:hAnsi="Times New Roman"/>
          <w:i/>
          <w:i/>
        </w:rPr>
      </w:pPr>
      <w:r>
        <w:rPr/>
      </w:r>
    </w:p>
    <w:sectPr>
      <w:type w:val="nextPage"/>
      <w:pgSz w:w="11906" w:h="16838"/>
      <w:pgMar w:left="1418" w:right="1418" w:header="0" w:top="567" w:footer="0" w:bottom="992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hyphenationZone w:val="425"/>
  <w:themeFontLang w:val="hr-HR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Times New Roman" w:cs="Times New Roman"/>
        <w:lang w:val="hr-HR" w:eastAsia="hr-HR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bidi w:val="0"/>
      <w:spacing w:lineRule="auto" w:line="276" w:before="0" w:after="200"/>
      <w:jc w:val="left"/>
    </w:pPr>
    <w:rPr>
      <w:rFonts w:ascii="Calibri" w:hAnsi="Calibri" w:eastAsia="Times New Roman" w:cs="Times New Roman"/>
      <w:color w:val="auto"/>
      <w:kern w:val="0"/>
      <w:sz w:val="22"/>
      <w:szCs w:val="22"/>
      <w:lang w:val="hr-HR" w:eastAsia="hr-HR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Internetskapoveznica">
    <w:name w:val="Internetska poveznica"/>
    <w:uiPriority w:val="99"/>
    <w:unhideWhenUsed/>
    <w:rsid w:val="005c7e46"/>
    <w:rPr>
      <w:color w:val="0000FF"/>
      <w:u w:val="single"/>
    </w:rPr>
  </w:style>
  <w:style w:type="character" w:styleId="Posjeenainternetskapoveznica">
    <w:name w:val="Posjećena internetska poveznica"/>
    <w:uiPriority w:val="99"/>
    <w:semiHidden/>
    <w:unhideWhenUsed/>
    <w:rsid w:val="005c7e46"/>
    <w:rPr>
      <w:color w:val="800080"/>
      <w:u w:val="single"/>
    </w:rPr>
  </w:style>
  <w:style w:type="character" w:styleId="Isticanje">
    <w:name w:val="Isticanje"/>
    <w:uiPriority w:val="20"/>
    <w:qFormat/>
    <w:rsid w:val="0044601c"/>
    <w:rPr>
      <w:i/>
      <w:iCs/>
    </w:rPr>
  </w:style>
  <w:style w:type="character" w:styleId="ZaglavljeChar" w:customStyle="1">
    <w:name w:val="Zaglavlje Char"/>
    <w:basedOn w:val="DefaultParagraphFont"/>
    <w:link w:val="Zaglavlje"/>
    <w:uiPriority w:val="99"/>
    <w:qFormat/>
    <w:rsid w:val="00af63e9"/>
    <w:rPr/>
  </w:style>
  <w:style w:type="character" w:styleId="PodnojeChar" w:customStyle="1">
    <w:name w:val="Podnožje Char"/>
    <w:basedOn w:val="DefaultParagraphFont"/>
    <w:link w:val="Podnoje"/>
    <w:uiPriority w:val="99"/>
    <w:qFormat/>
    <w:rsid w:val="00af63e9"/>
    <w:rPr/>
  </w:style>
  <w:style w:type="character" w:styleId="TekstbaloniaChar" w:customStyle="1">
    <w:name w:val="Tekst balončića Char"/>
    <w:link w:val="Tekstbalonia"/>
    <w:uiPriority w:val="99"/>
    <w:semiHidden/>
    <w:qFormat/>
    <w:rsid w:val="00c702ad"/>
    <w:rPr>
      <w:rFonts w:ascii="Segoe UI" w:hAnsi="Segoe UI" w:cs="Segoe UI"/>
      <w:sz w:val="18"/>
      <w:szCs w:val="18"/>
    </w:rPr>
  </w:style>
  <w:style w:type="character" w:styleId="UnresolvedMention">
    <w:name w:val="Unresolved Mention"/>
    <w:uiPriority w:val="99"/>
    <w:semiHidden/>
    <w:unhideWhenUsed/>
    <w:qFormat/>
    <w:rsid w:val="00be6bec"/>
    <w:rPr>
      <w:color w:val="605E5C"/>
      <w:shd w:fill="E1DFDD" w:val="clear"/>
    </w:rPr>
  </w:style>
  <w:style w:type="paragraph" w:styleId="Stilnaslova">
    <w:name w:val="Stil naslova"/>
    <w:basedOn w:val="Normal"/>
    <w:next w:val="Tijeloteksta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ijeloteksta">
    <w:name w:val="Body Text"/>
    <w:basedOn w:val="Normal"/>
    <w:pPr>
      <w:spacing w:lineRule="auto" w:line="276" w:before="0" w:after="140"/>
    </w:pPr>
    <w:rPr/>
  </w:style>
  <w:style w:type="paragraph" w:styleId="Popis">
    <w:name w:val="List"/>
    <w:basedOn w:val="Tijeloteksta"/>
    <w:pPr/>
    <w:rPr>
      <w:rFonts w:cs="Lucida Sans"/>
    </w:rPr>
  </w:style>
  <w:style w:type="paragraph" w:styleId="Opiselementa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Lucida Sans"/>
    </w:rPr>
  </w:style>
  <w:style w:type="paragraph" w:styleId="ListParagraph">
    <w:name w:val="List Paragraph"/>
    <w:basedOn w:val="Normal"/>
    <w:uiPriority w:val="34"/>
    <w:qFormat/>
    <w:rsid w:val="00ae03af"/>
    <w:pPr>
      <w:spacing w:before="0" w:after="200"/>
      <w:ind w:left="720" w:hanging="0"/>
      <w:contextualSpacing/>
    </w:pPr>
    <w:rPr/>
  </w:style>
  <w:style w:type="paragraph" w:styleId="NormalWeb">
    <w:name w:val="Normal (Web)"/>
    <w:basedOn w:val="Normal"/>
    <w:uiPriority w:val="99"/>
    <w:unhideWhenUsed/>
    <w:qFormat/>
    <w:rsid w:val="008f6b55"/>
    <w:pPr>
      <w:spacing w:lineRule="auto" w:line="240" w:beforeAutospacing="1" w:afterAutospacing="1"/>
      <w:jc w:val="both"/>
    </w:pPr>
    <w:rPr>
      <w:rFonts w:ascii="Times New Roman" w:hAnsi="Times New Roman"/>
      <w:sz w:val="24"/>
      <w:szCs w:val="24"/>
    </w:rPr>
  </w:style>
  <w:style w:type="paragraph" w:styleId="Zaglavljeipodnoje">
    <w:name w:val="Zaglavlje i podnožje"/>
    <w:basedOn w:val="Normal"/>
    <w:qFormat/>
    <w:pPr/>
    <w:rPr/>
  </w:style>
  <w:style w:type="paragraph" w:styleId="Zaglavlje">
    <w:name w:val="Header"/>
    <w:basedOn w:val="Normal"/>
    <w:link w:val="ZaglavljeChar"/>
    <w:uiPriority w:val="99"/>
    <w:unhideWhenUsed/>
    <w:rsid w:val="00af63e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dnoje">
    <w:name w:val="Footer"/>
    <w:basedOn w:val="Normal"/>
    <w:link w:val="PodnojeChar"/>
    <w:uiPriority w:val="99"/>
    <w:unhideWhenUsed/>
    <w:rsid w:val="00af63e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kstbaloniaChar"/>
    <w:uiPriority w:val="99"/>
    <w:semiHidden/>
    <w:unhideWhenUsed/>
    <w:qFormat/>
    <w:rsid w:val="00c702ad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Reetkatablice">
    <w:name w:val="Table Grid"/>
    <w:basedOn w:val="Obinatablica"/>
    <w:uiPriority w:val="59"/>
    <w:rsid w:val="00ba407d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yperlink" Target="http://www.blato.hr/" TargetMode="Externa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Application>LibreOffice/6.4.4.2$Windows_X86_64 LibreOffice_project/3d775be2011f3886db32dfd395a6a6d1ca2630ff</Application>
  <Pages>1</Pages>
  <Words>288</Words>
  <Characters>1856</Characters>
  <CharactersWithSpaces>2135</CharactersWithSpaces>
  <Paragraphs>30</Paragraphs>
  <Company>Hewlett-Packard Company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2025-09-11T09:39:00Z</dcterms:created>
  <dc:creator>Sanja</dc:creator>
  <dc:description/>
  <dc:language>hr-HR</dc:language>
  <cp:lastModifiedBy/>
  <cp:lastPrinted>2016-02-03T11:58:00Z</cp:lastPrinted>
  <dcterms:modified xsi:type="dcterms:W3CDTF">2025-09-23T09:23:34Z</dcterms:modified>
  <cp:revision>16</cp:revision>
  <dc:subject/>
  <dc:title>IZVJEŠĆE O PROVEDENOM SAVJETOVANJU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Hewlett-Packard Company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