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bidi w:val="0"/>
        <w:jc w:val="both"/>
        <w:rPr/>
      </w:pPr>
      <w:r>
        <w:rPr/>
        <w:tab/>
      </w:r>
      <w:r>
        <w:rPr/>
        <w:t>Temeljem</w:t>
      </w:r>
      <w:r>
        <w:rPr/>
        <w:t xml:space="preserve"> članka 12. stavka 3. Zakona o zaštiti od svjetlosnog onečišćenja (Narodne novine 14/19), članka 14. Pravilnika o sadržaju, formatu i načinu izrade plana rasvjete i akcijskog plana gradnje i/ili rekonstrukcije vanjske rasvjete (Narodne novine 22/23) i članka </w:t>
      </w:r>
      <w:r>
        <w:rPr/>
        <w:t>9</w:t>
      </w:r>
      <w:r>
        <w:rPr/>
        <w:t xml:space="preserve">1. Statuta </w:t>
      </w:r>
      <w:r>
        <w:rPr/>
        <w:t>Općine Blato</w:t>
      </w:r>
      <w:r>
        <w:rPr/>
        <w:t xml:space="preserve"> (Službeni glasnik </w:t>
      </w:r>
      <w:r>
        <w:rPr/>
        <w:t>Općine Blato  broj 2/21</w:t>
      </w:r>
      <w:r>
        <w:rPr/>
        <w:t xml:space="preserve">), </w:t>
      </w:r>
      <w:r>
        <w:rPr/>
        <w:t>Općinsko vijeće Općine Blato</w:t>
      </w:r>
      <w:r>
        <w:rPr/>
        <w:t xml:space="preserve">, na </w:t>
      </w:r>
      <w:r>
        <w:rPr/>
        <w:t>svojoj __.</w:t>
      </w:r>
      <w:r>
        <w:rPr/>
        <w:t xml:space="preserve"> sjednici, </w:t>
      </w:r>
      <w:r>
        <w:rPr/>
        <w:t>održanoj __. ______ 2026. godine</w:t>
      </w:r>
      <w:r>
        <w:rPr/>
        <w:t>, donijel</w:t>
      </w:r>
      <w:r>
        <w:rPr/>
        <w:t>o</w:t>
      </w:r>
      <w:r>
        <w:rPr/>
        <w:t xml:space="preserve"> je </w:t>
      </w:r>
    </w:p>
    <w:p>
      <w:pPr>
        <w:pStyle w:val="Normal"/>
        <w:bidi w:val="0"/>
        <w:jc w:val="left"/>
        <w:rPr/>
      </w:pPr>
      <w:r>
        <w:rPr/>
      </w:r>
    </w:p>
    <w:p>
      <w:pPr>
        <w:pStyle w:val="Normal"/>
        <w:bidi w:val="0"/>
        <w:jc w:val="center"/>
        <w:rPr/>
      </w:pPr>
      <w:r>
        <w:rPr/>
        <w:t xml:space="preserve">ODLUKU </w:t>
      </w:r>
    </w:p>
    <w:p>
      <w:pPr>
        <w:pStyle w:val="Normal"/>
        <w:bidi w:val="0"/>
        <w:jc w:val="center"/>
        <w:rPr/>
      </w:pPr>
      <w:r>
        <w:rPr/>
        <w:t xml:space="preserve">o donošenju Plana rasvjete </w:t>
      </w:r>
      <w:r>
        <w:rPr/>
        <w:t>Općine Blato</w:t>
      </w:r>
    </w:p>
    <w:p>
      <w:pPr>
        <w:pStyle w:val="Normal"/>
        <w:bidi w:val="0"/>
        <w:jc w:val="center"/>
        <w:rPr/>
      </w:pPr>
      <w:r>
        <w:rPr/>
      </w:r>
    </w:p>
    <w:p>
      <w:pPr>
        <w:pStyle w:val="Normal"/>
        <w:bidi w:val="0"/>
        <w:jc w:val="center"/>
        <w:rPr/>
      </w:pPr>
      <w:r>
        <w:rPr/>
      </w:r>
    </w:p>
    <w:p>
      <w:pPr>
        <w:pStyle w:val="Normal"/>
        <w:bidi w:val="0"/>
        <w:jc w:val="center"/>
        <w:rPr/>
      </w:pPr>
      <w:r>
        <w:rPr/>
        <w:t xml:space="preserve">Članak 1. </w:t>
      </w:r>
    </w:p>
    <w:p>
      <w:pPr>
        <w:pStyle w:val="Normal"/>
        <w:bidi w:val="0"/>
        <w:jc w:val="center"/>
        <w:rPr/>
      </w:pPr>
      <w:r>
        <w:rPr/>
      </w:r>
    </w:p>
    <w:p>
      <w:pPr>
        <w:pStyle w:val="Normal"/>
        <w:bidi w:val="0"/>
        <w:jc w:val="both"/>
        <w:rPr/>
      </w:pPr>
      <w:r>
        <w:rPr/>
        <w:tab/>
        <w:t xml:space="preserve">Donosi se Plan rasvjete </w:t>
      </w:r>
      <w:r>
        <w:rPr/>
        <w:t>Općine Blato</w:t>
      </w:r>
      <w:r>
        <w:rPr/>
        <w:t xml:space="preserve"> (u daljnjem tekstu: Plan) za cjelokupno područje </w:t>
      </w:r>
      <w:r>
        <w:rPr/>
        <w:t>Općine Blato</w:t>
      </w:r>
      <w:r>
        <w:rPr/>
        <w:t xml:space="preserve"> kojim se definiraju zone rasvijetljenosti, određuje terminski plan rada rasvjete, daje prikaz bilance pokrivenosti zona rasvijetljenosti te propisuju mjere zaštite posebno osjetljivih područja, sve u skladu sa Zakonom o zaštiti od svjetlosnog onečišćenja te podzakonskim propisima. </w:t>
      </w:r>
    </w:p>
    <w:p>
      <w:pPr>
        <w:pStyle w:val="Normal"/>
        <w:bidi w:val="0"/>
        <w:jc w:val="left"/>
        <w:rPr/>
      </w:pPr>
      <w:r>
        <w:rPr/>
      </w:r>
    </w:p>
    <w:p>
      <w:pPr>
        <w:pStyle w:val="Normal"/>
        <w:bidi w:val="0"/>
        <w:jc w:val="center"/>
        <w:rPr/>
      </w:pPr>
      <w:r>
        <w:rPr/>
        <w:t xml:space="preserve">Članak 2. </w:t>
      </w:r>
    </w:p>
    <w:p>
      <w:pPr>
        <w:pStyle w:val="Normal"/>
        <w:bidi w:val="0"/>
        <w:jc w:val="left"/>
        <w:rPr/>
      </w:pPr>
      <w:r>
        <w:rPr/>
      </w:r>
    </w:p>
    <w:p>
      <w:pPr>
        <w:pStyle w:val="Normal"/>
        <w:bidi w:val="0"/>
        <w:jc w:val="both"/>
        <w:rPr/>
      </w:pPr>
      <w:r>
        <w:rPr/>
        <w:tab/>
        <w:t xml:space="preserve">Plan je sastavni dio ove odluke. </w:t>
      </w:r>
    </w:p>
    <w:p>
      <w:pPr>
        <w:pStyle w:val="Normal"/>
        <w:bidi w:val="0"/>
        <w:jc w:val="both"/>
        <w:rPr/>
      </w:pPr>
      <w:r>
        <w:rPr/>
        <w:tab/>
        <w:t xml:space="preserve">Ova odluka i Plan će biti objavljeni na internetskoj stranici </w:t>
      </w:r>
      <w:r>
        <w:rPr/>
        <w:t>Općine Blato</w:t>
      </w:r>
      <w:r>
        <w:rPr/>
        <w:t>.</w:t>
      </w:r>
    </w:p>
    <w:p>
      <w:pPr>
        <w:pStyle w:val="Normal"/>
        <w:bidi w:val="0"/>
        <w:jc w:val="left"/>
        <w:rPr/>
      </w:pPr>
      <w:r>
        <w:rPr/>
      </w:r>
    </w:p>
    <w:p>
      <w:pPr>
        <w:pStyle w:val="Normal"/>
        <w:bidi w:val="0"/>
        <w:jc w:val="center"/>
        <w:rPr/>
      </w:pPr>
      <w:r>
        <w:rPr/>
        <w:t xml:space="preserve">Članak 3. </w:t>
      </w:r>
    </w:p>
    <w:p>
      <w:pPr>
        <w:pStyle w:val="Normal"/>
        <w:bidi w:val="0"/>
        <w:jc w:val="left"/>
        <w:rPr/>
      </w:pPr>
      <w:r>
        <w:rPr/>
      </w:r>
    </w:p>
    <w:p>
      <w:pPr>
        <w:pStyle w:val="Normal"/>
        <w:bidi w:val="0"/>
        <w:jc w:val="both"/>
        <w:rPr/>
      </w:pPr>
      <w:r>
        <w:rPr/>
        <w:tab/>
        <w:t xml:space="preserve">Ova odluka stupa na snagu osmoga dana od dana objave u Službenom glasniku </w:t>
      </w:r>
      <w:r>
        <w:rPr/>
        <w:t>Općine Blato.</w:t>
      </w:r>
    </w:p>
    <w:p>
      <w:pPr>
        <w:pStyle w:val="Normal"/>
        <w:bidi w:val="0"/>
        <w:jc w:val="left"/>
        <w:rPr/>
      </w:pPr>
      <w:r>
        <w:rPr/>
      </w:r>
    </w:p>
    <w:p>
      <w:pPr>
        <w:pStyle w:val="Normal"/>
        <w:bidi w:val="0"/>
        <w:jc w:val="left"/>
        <w:rPr/>
      </w:pPr>
      <w:r>
        <w:rPr/>
      </w:r>
    </w:p>
    <w:p>
      <w:pPr>
        <w:pStyle w:val="Normal"/>
        <w:bidi w:val="0"/>
        <w:jc w:val="left"/>
        <w:rPr/>
      </w:pPr>
      <w:r>
        <w:rPr/>
        <w:t xml:space="preserve">KLASA: </w:t>
      </w:r>
    </w:p>
    <w:p>
      <w:pPr>
        <w:pStyle w:val="Normal"/>
        <w:bidi w:val="0"/>
        <w:jc w:val="left"/>
        <w:rPr/>
      </w:pPr>
      <w:r>
        <w:rPr/>
        <w:t xml:space="preserve">URBROJ: </w:t>
      </w:r>
    </w:p>
    <w:p>
      <w:pPr>
        <w:pStyle w:val="Normal"/>
        <w:bidi w:val="0"/>
        <w:jc w:val="left"/>
        <w:rPr/>
      </w:pPr>
      <w:r>
        <w:rPr/>
        <w:t>Blato, __. _______ 2026</w:t>
      </w:r>
      <w:r>
        <w:rPr/>
        <w:t xml:space="preserve">. </w:t>
      </w:r>
      <w:r>
        <w:rPr/>
        <w:t>godine</w:t>
      </w:r>
    </w:p>
    <w:p>
      <w:pPr>
        <w:pStyle w:val="Normal"/>
        <w:bidi w:val="0"/>
        <w:jc w:val="left"/>
        <w:rPr/>
      </w:pPr>
      <w:r>
        <w:rPr/>
      </w:r>
    </w:p>
    <w:p>
      <w:pPr>
        <w:pStyle w:val="Normal"/>
        <w:bidi w:val="0"/>
        <w:jc w:val="right"/>
        <w:rPr/>
      </w:pPr>
      <w:r>
        <w:rPr/>
        <w:t>OPĆINSKO VIJEĆE</w:t>
      </w:r>
    </w:p>
    <w:p>
      <w:pPr>
        <w:pStyle w:val="Normal"/>
        <w:bidi w:val="0"/>
        <w:jc w:val="right"/>
        <w:rPr/>
      </w:pPr>
      <w:r>
        <w:rPr/>
        <w:t>Predsjednica</w:t>
      </w:r>
    </w:p>
    <w:p>
      <w:pPr>
        <w:pStyle w:val="Normal"/>
        <w:bidi w:val="0"/>
        <w:jc w:val="right"/>
        <w:rPr/>
      </w:pPr>
      <w:r>
        <w:rPr/>
        <w:t>Franciska Jurišić Bačić, mag.bibl.</w:t>
      </w:r>
      <w:r>
        <w:rPr/>
        <w:t xml:space="preserve">, v. r </w:t>
      </w:r>
    </w:p>
    <w:p>
      <w:pPr>
        <w:pStyle w:val="Normal"/>
        <w:bidi w:val="0"/>
        <w:jc w:val="right"/>
        <w:rPr/>
      </w:pPr>
      <w:r>
        <w:rPr/>
      </w:r>
    </w:p>
    <w:p>
      <w:pPr>
        <w:pStyle w:val="Normal"/>
        <w:bidi w:val="0"/>
        <w:jc w:val="both"/>
        <w:rPr/>
      </w:pPr>
      <w:r>
        <w:rPr/>
      </w:r>
    </w:p>
    <w:p>
      <w:pPr>
        <w:pStyle w:val="Normal"/>
        <w:bidi w:val="0"/>
        <w:jc w:val="both"/>
        <w:rPr/>
      </w:pPr>
      <w:r>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r>
    </w:p>
    <w:p>
      <w:pPr>
        <w:pStyle w:val="Normal"/>
        <w:bidi w:val="0"/>
        <w:jc w:val="center"/>
        <w:rPr>
          <w:i/>
          <w:i/>
          <w:iCs/>
        </w:rPr>
      </w:pPr>
      <w:r>
        <w:rPr>
          <w:i/>
          <w:iCs/>
        </w:rPr>
        <w:t>Obrazloženje</w:t>
      </w:r>
    </w:p>
    <w:p>
      <w:pPr>
        <w:pStyle w:val="Normal"/>
        <w:bidi w:val="0"/>
        <w:jc w:val="center"/>
        <w:rPr>
          <w:i w:val="false"/>
          <w:i w:val="false"/>
          <w:iCs w:val="false"/>
        </w:rPr>
      </w:pPr>
      <w:r>
        <w:rPr>
          <w:i w:val="false"/>
          <w:iCs w:val="false"/>
        </w:rPr>
      </w:r>
    </w:p>
    <w:p>
      <w:pPr>
        <w:pStyle w:val="Normal"/>
        <w:bidi w:val="0"/>
        <w:jc w:val="both"/>
        <w:rPr/>
      </w:pPr>
      <w:r>
        <w:rPr>
          <w:i w:val="false"/>
          <w:iCs w:val="false"/>
        </w:rPr>
        <w:t>Temeljem članka 12. stavka 3. Zakona o zaštiti od svjetlosnog onečišćenja (N</w:t>
      </w:r>
      <w:r>
        <w:rPr>
          <w:i w:val="false"/>
          <w:iCs w:val="false"/>
        </w:rPr>
        <w:t>N</w:t>
      </w:r>
      <w:r>
        <w:rPr>
          <w:i w:val="false"/>
          <w:iCs w:val="false"/>
        </w:rPr>
        <w:t xml:space="preserve"> 14/19) </w:t>
      </w:r>
      <w:r>
        <w:rPr>
          <w:i w:val="false"/>
          <w:iCs w:val="false"/>
        </w:rPr>
        <w:t xml:space="preserve">te članka 14. Pravilnika o sadržaju, formatu i načinu izrade plana rasvjete i akcijskog plana gradnje i/ili rekonstrukcije vanjske rasvjete (NN 22/23), </w:t>
      </w:r>
      <w:r>
        <w:rPr>
          <w:i w:val="false"/>
          <w:iCs w:val="false"/>
        </w:rPr>
        <w:t xml:space="preserve">predstavničko tijelo jedinica lokalne samouprave donosi plan rasvjete za svoje administrativno područje. Istim zakonom uređuje se zaštita od svjetlosnog onečišćenja koja obuhvaća obveznike zaštite od svjetlosnog onečišćenja, mjere zaštite od svjetlosnog onečišćenja, način utvrđivanja najviše dopuštenih vrijednosti rasvjetljavanja, ograničenja i zabrane rasvjetljavanja, uvjete za planiranje, gradnju, održavanja i rekonstrukciju vanjske rasvjete, mjerenja i način praćenja rasvijetljenosti okoliša te druga pitanja radi smanjenja svjetlosnog onečišćenja okoliša i posljedica djelovanja svjetlosnog onečišćenja. </w:t>
      </w:r>
    </w:p>
    <w:p>
      <w:pPr>
        <w:pStyle w:val="Normal"/>
        <w:bidi w:val="0"/>
        <w:jc w:val="both"/>
        <w:rPr/>
      </w:pPr>
      <w:r>
        <w:rPr>
          <w:i w:val="false"/>
          <w:iCs w:val="false"/>
        </w:rPr>
        <w:t xml:space="preserve">Plan rasvjete je plan vanjske rasvjete i dekorativne rasvjete koji donose jedinice lokalne samouprave, u skladu s prostornim i urbanističkim planovima, a kojim se određuju zone ugradnje rasvjete i tehnički parametri rasvjete. Plan rasvjete koji izrađuje jedinica lokalne samouprave čini podlogu za projekt vanjske rasvjete. Plan rasvjete mora biti usklađen s prostornim i urbanističkim planovima, tehnički parametri rasvjete u skladu sa Zakonom </w:t>
      </w:r>
      <w:r>
        <w:rPr>
          <w:i w:val="false"/>
          <w:iCs w:val="false"/>
        </w:rPr>
        <w:t>i pripadajućim pravilnicima</w:t>
      </w:r>
      <w:r>
        <w:rPr>
          <w:i w:val="false"/>
          <w:iCs w:val="false"/>
        </w:rPr>
        <w:t xml:space="preserve">. Predstavničko tijelo jedinica lokalne samouprave donosi plan rasvjete za svoje administrativno područje. Doneseni plan rasvjete dostavlja se nadležnom Ministarstvu te je on sastavni dio informacijskog sustava zaštite okoliša i prirode Republike Hrvatske. </w:t>
      </w:r>
    </w:p>
    <w:p>
      <w:pPr>
        <w:pStyle w:val="Normal"/>
        <w:bidi w:val="0"/>
        <w:jc w:val="both"/>
        <w:rPr/>
      </w:pPr>
      <w:r>
        <w:rPr>
          <w:i w:val="false"/>
          <w:iCs w:val="false"/>
        </w:rPr>
        <w:t>Plan rasvjete mora biti usklađen s Pravilnikom o zonama rasvijetljenosti, dopuštenim vrijednostima rasvjetljavanja i načinima upravljanja rasvjetnim sustavima (</w:t>
      </w:r>
      <w:r>
        <w:rPr>
          <w:i w:val="false"/>
          <w:iCs w:val="false"/>
        </w:rPr>
        <w:t>NN</w:t>
      </w:r>
      <w:r>
        <w:rPr>
          <w:i w:val="false"/>
          <w:iCs w:val="false"/>
        </w:rPr>
        <w:t xml:space="preserve"> 128/20), Pravilnikom o mjerenju i načinu praćenja rasvijetljenosti okoliša (</w:t>
      </w:r>
      <w:r>
        <w:rPr>
          <w:i w:val="false"/>
          <w:iCs w:val="false"/>
        </w:rPr>
        <w:t>NN</w:t>
      </w:r>
      <w:r>
        <w:rPr>
          <w:i w:val="false"/>
          <w:iCs w:val="false"/>
        </w:rPr>
        <w:t xml:space="preserve"> 22/23) i Pravilnikom o sadržaju, formatu i načinu izrade plana rasvjete i akcijskog plana gradnje i/ili rekonstrukcije vanjske rasvjete (</w:t>
      </w:r>
      <w:r>
        <w:rPr>
          <w:i w:val="false"/>
          <w:iCs w:val="false"/>
        </w:rPr>
        <w:t>NN</w:t>
      </w:r>
      <w:r>
        <w:rPr>
          <w:i w:val="false"/>
          <w:iCs w:val="false"/>
        </w:rPr>
        <w:t xml:space="preserve"> 22/23). Predlaže se donošenje Plana rasvjete </w:t>
      </w:r>
      <w:r>
        <w:rPr>
          <w:i w:val="false"/>
          <w:iCs w:val="false"/>
        </w:rPr>
        <w:t xml:space="preserve">Općine Blato </w:t>
      </w:r>
      <w:r>
        <w:rPr>
          <w:i w:val="false"/>
          <w:iCs w:val="false"/>
        </w:rPr>
        <w:t xml:space="preserve">za cjelokupno područje </w:t>
      </w:r>
      <w:r>
        <w:rPr>
          <w:i w:val="false"/>
          <w:iCs w:val="false"/>
        </w:rPr>
        <w:t>Općine Blato</w:t>
      </w:r>
      <w:r>
        <w:rPr>
          <w:i w:val="false"/>
          <w:iCs w:val="false"/>
        </w:rPr>
        <w:t xml:space="preserve"> kojim se definiraju zone rasvijetljenosti, određuje terminski plan rada rasvjete, daje prikaz bilance pokrivenosti zona rasvijetljenosti te propisuju mjere zaštite posebno osjetljivih područja, u skladu sa Zakonom o zaštiti od svjetlosnog onečišćenja (</w:t>
      </w:r>
      <w:r>
        <w:rPr>
          <w:i w:val="false"/>
          <w:iCs w:val="false"/>
        </w:rPr>
        <w:t xml:space="preserve">NN </w:t>
      </w:r>
      <w:r>
        <w:rPr>
          <w:i w:val="false"/>
          <w:iCs w:val="false"/>
        </w:rPr>
        <w:t>14/19) te podza</w:t>
      </w:r>
      <w:r>
        <w:rPr>
          <w:i w:val="false"/>
          <w:iCs w:val="false"/>
        </w:rPr>
        <w:t>konskim propisima.</w:t>
      </w:r>
    </w:p>
    <w:sectPr>
      <w:headerReference w:type="default" r:id="rId2"/>
      <w:type w:val="nextPage"/>
      <w:pgSz w:w="11906" w:h="16838"/>
      <w:pgMar w:left="1134" w:right="1134" w:header="1134" w:top="1693" w:footer="0" w:bottom="1134" w:gutter="0"/>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Liberation Sans">
    <w:altName w:val="Arial"/>
    <w:charset w:val="ee"/>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Zaglavlje"/>
      <w:bidi w:val="0"/>
      <w:jc w:val="right"/>
      <w:rPr/>
    </w:pPr>
    <w:r>
      <w:rPr/>
      <w:t>PRIJEDLOG</w:t>
    </w:r>
  </w:p>
</w:hdr>
</file>

<file path=word/settings.xml><?xml version="1.0" encoding="utf-8"?>
<w:settings xmlns:w="http://schemas.openxmlformats.org/wordprocessingml/2006/main">
  <w:zoom w:percent="110"/>
  <w:defaultTabStop w:val="709"/>
  <w:autoHyphenation w:val="true"/>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hr-HR"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SimSun" w:cs="Lucida Sans"/>
      <w:color w:val="auto"/>
      <w:kern w:val="2"/>
      <w:sz w:val="24"/>
      <w:szCs w:val="24"/>
      <w:lang w:val="hr-HR" w:eastAsia="zh-CN" w:bidi="hi-IN"/>
    </w:rPr>
  </w:style>
  <w:style w:type="paragraph" w:styleId="Stilnaslova">
    <w:name w:val="Stil naslova"/>
    <w:basedOn w:val="Normal"/>
    <w:next w:val="Tijeloteksta"/>
    <w:qFormat/>
    <w:pPr>
      <w:keepNext w:val="true"/>
      <w:spacing w:before="240" w:after="120"/>
    </w:pPr>
    <w:rPr>
      <w:rFonts w:ascii="Liberation Sans" w:hAnsi="Liberation Sans" w:eastAsia="Microsoft YaHei" w:cs="Lucida Sans"/>
      <w:sz w:val="28"/>
      <w:szCs w:val="28"/>
    </w:rPr>
  </w:style>
  <w:style w:type="paragraph" w:styleId="Tijeloteksta">
    <w:name w:val="Body Text"/>
    <w:basedOn w:val="Normal"/>
    <w:pPr>
      <w:spacing w:lineRule="auto" w:line="276" w:before="0" w:after="140"/>
    </w:pPr>
    <w:rPr/>
  </w:style>
  <w:style w:type="paragraph" w:styleId="Popis">
    <w:name w:val="List"/>
    <w:basedOn w:val="Tijeloteksta"/>
    <w:pPr/>
    <w:rPr>
      <w:rFonts w:cs="Lucida Sans"/>
    </w:rPr>
  </w:style>
  <w:style w:type="paragraph" w:styleId="Opiselementa">
    <w:name w:val="Caption"/>
    <w:basedOn w:val="Normal"/>
    <w:qFormat/>
    <w:pPr>
      <w:suppressLineNumbers/>
      <w:spacing w:before="120" w:after="120"/>
    </w:pPr>
    <w:rPr>
      <w:rFonts w:cs="Lucida Sans"/>
      <w:i/>
      <w:iCs/>
      <w:sz w:val="24"/>
      <w:szCs w:val="24"/>
    </w:rPr>
  </w:style>
  <w:style w:type="paragraph" w:styleId="Indeks">
    <w:name w:val="Indeks"/>
    <w:basedOn w:val="Normal"/>
    <w:qFormat/>
    <w:pPr>
      <w:suppressLineNumbers/>
    </w:pPr>
    <w:rPr>
      <w:rFonts w:cs="Lucida Sans"/>
    </w:rPr>
  </w:style>
  <w:style w:type="paragraph" w:styleId="Zaglavljeipodnoje">
    <w:name w:val="Zaglavlje i podnožje"/>
    <w:basedOn w:val="Normal"/>
    <w:qFormat/>
    <w:pPr>
      <w:suppressLineNumbers/>
      <w:tabs>
        <w:tab w:val="clear" w:pos="709"/>
        <w:tab w:val="center" w:pos="4819" w:leader="none"/>
        <w:tab w:val="right" w:pos="9638" w:leader="none"/>
      </w:tabs>
    </w:pPr>
    <w:rPr/>
  </w:style>
  <w:style w:type="paragraph" w:styleId="Zaglavlje">
    <w:name w:val="Header"/>
    <w:basedOn w:val="Zaglavljeipodnoje"/>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9</TotalTime>
  <Application>LibreOffice/6.4.4.2$Windows_X86_64 LibreOffice_project/3d775be2011f3886db32dfd395a6a6d1ca2630ff</Application>
  <Pages>2</Pages>
  <Words>479</Words>
  <Characters>3095</Characters>
  <CharactersWithSpaces>3571</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2026-05-19T08:12:01Z</dcterms:created>
  <dc:creator/>
  <dc:description/>
  <dc:language>hr-HR</dc:language>
  <cp:lastModifiedBy/>
  <cp:lastPrinted>2026-05-19T08:30:47Z</cp:lastPrinted>
  <dcterms:modified xsi:type="dcterms:W3CDTF">2026-05-19T08:32:32Z</dcterms:modified>
  <cp:revision>1</cp:revision>
  <dc:subject/>
  <dc:title/>
</cp:coreProperties>
</file>