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,                               </w:t>
      </w:r>
      <w:r>
        <w:rPr/>
        <w:drawing>
          <wp:inline distT="0" distB="0" distL="0" distR="0">
            <wp:extent cx="476250" cy="628650"/>
            <wp:effectExtent l="0" t="0" r="0" b="0"/>
            <wp:docPr id="1" name="Slika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ind w:firstLine="708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  <w:t xml:space="preserve">     </w:t>
      </w: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  <w:t>REPUBLIKA HRVATSKA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  <w:t>ŽUPANIJA DUBROVAČKO-NERETVANSKA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sz w:val="20"/>
          <w:szCs w:val="20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                                </w:t>
      </w:r>
      <w:r>
        <w:rPr/>
        <w:drawing>
          <wp:inline distT="0" distB="0" distL="0" distR="0">
            <wp:extent cx="447675" cy="552450"/>
            <wp:effectExtent l="0" t="0" r="0" b="0"/>
            <wp:docPr id="2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uppressAutoHyphens w:val="true"/>
        <w:spacing w:lineRule="auto" w:line="240" w:before="0" w:after="0"/>
        <w:ind w:firstLine="708"/>
        <w:rPr>
          <w:rFonts w:ascii="Times New Roman" w:hAnsi="Times New Roman" w:eastAsia="Times New Roman" w:cs="Times New Roman"/>
          <w:b/>
          <w:b/>
          <w:bCs/>
          <w:kern w:val="2"/>
          <w:sz w:val="20"/>
          <w:szCs w:val="20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0"/>
          <w:szCs w:val="20"/>
          <w:lang w:eastAsia="ar-SA"/>
        </w:rPr>
        <w:t xml:space="preserve">              </w:t>
      </w:r>
      <w:r>
        <w:rPr>
          <w:rFonts w:eastAsia="Times New Roman" w:cs="Times New Roman" w:ascii="Times New Roman" w:hAnsi="Times New Roman"/>
          <w:b/>
          <w:bCs/>
          <w:kern w:val="2"/>
          <w:sz w:val="20"/>
          <w:szCs w:val="20"/>
          <w:lang w:eastAsia="ar-SA"/>
        </w:rPr>
        <w:t>OPĆINA BLATO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sz w:val="20"/>
          <w:szCs w:val="20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0"/>
          <w:szCs w:val="20"/>
          <w:lang w:eastAsia="ar-SA"/>
        </w:rPr>
        <w:t>UPRAVNI ODJEL ZA KOMUNALNE DJELATNOSTI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sz w:val="20"/>
          <w:szCs w:val="20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0"/>
          <w:szCs w:val="20"/>
          <w:lang w:eastAsia="ar-SA"/>
        </w:rPr>
        <w:t>INFRASTRUKTURU,GOSPODARENJE PROSTOROM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kern w:val="2"/>
          <w:sz w:val="20"/>
          <w:szCs w:val="20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sz w:val="20"/>
          <w:szCs w:val="20"/>
          <w:lang w:eastAsia="ar-SA"/>
        </w:rPr>
        <w:tab/>
        <w:tab/>
        <w:t>I ZAŠTITU OKOLIŠA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KLASA: 363-03/25-01/1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URBROJ: 2117-13-05/1-25-01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0" w:leader="none"/>
        </w:tabs>
        <w:suppressAutoHyphens w:val="true"/>
        <w:spacing w:lineRule="auto" w:line="240" w:before="0" w:after="0"/>
        <w:ind w:left="0" w:hanging="0"/>
        <w:outlineLvl w:val="0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  <w:t>Blato, 18. ožujka 2025. godine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right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OPĆINSKO VIJEĆE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right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vijećnici</w:t>
      </w:r>
    </w:p>
    <w:p>
      <w:pPr>
        <w:pStyle w:val="Normal"/>
        <w:suppressAutoHyphens w:val="true"/>
        <w:spacing w:lineRule="auto" w:line="240" w:before="0" w:after="0"/>
        <w:jc w:val="right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Predmet: Izvještaj o naplati komunalne naknade i komunalnog doprinosa za 2024. godinu         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b/>
          <w:b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lang w:eastAsia="ar-SA"/>
        </w:rPr>
        <w:t>KOMUNALNA NAKNADA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color w:val="FF0000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Tijekom 2024. godine Upravni odjel za komunalne djelatnosti, infrastrukturu, gospodarenje prostorom i zaštitu okoliša vršio je naplatu komunalne naknade temeljem članka 92. Zakona o komunalnom gospodarstvu (Narodne novine br. 68/18, 110/18 i 32/20),  Odluke o komunalnoj naknadi (Službeni glasnik Općine Blato br. 2/2019),  Odluke o vrijednosti boda za izračun komunalne naknade (Sl.gl.11/2022), te Odluke o ustrojstvu i djelokrugu Upravnih tijela Općine Blato  (Sl. gl. br. 5/22). 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>Komunalna naknada plaća se na žiro račun Proračuna Općine Blato i koristi se sukladno Programu održavanja komunalne infrastrukture i opsegu radova održavanja uređenog građevinskog zemljišta za slijedeće djelatnosti: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odvodnja atmosferskih voda,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održavanje javnih površina,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održavanje čistoće u dijelu koji se odnosi na čišćenje javnih površina,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održavanje nerazvrstanih cesta,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održavanje groblja,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javna rasvjeta.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ind w:left="720" w:hanging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ind w:firstLine="36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Upravni odjel za komunalne djelatnosti, infrastrukturu, gospodarenje prostorom i zaštitu okoliša komunalnu naknadu za domaćinstva  obračunava dva puta godišnje, a za vikendice, iznajmljivače  i poslovne prostore jednom godišnje množenjem obračunske jedinice – boda, koeficijentom zone, koeficijentom namjene te površinom objekta.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U  veljači 2024. godine dostavljeno je 1008 uplatnica za razdoblje od 7-12/2023. , te je očekivani prihod prema izdanim uplatnicama iznosio 15.271,39</w:t>
      </w:r>
      <w:r>
        <w:rPr>
          <w:rFonts w:eastAsia="Times New Roman" w:cs="Times New Roman" w:ascii="Times New Roman" w:hAnsi="Times New Roman"/>
          <w:b/>
          <w:kern w:val="2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>eura.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bCs/>
          <w:kern w:val="2"/>
          <w:lang w:eastAsia="ar-SA"/>
        </w:rPr>
        <w:t xml:space="preserve">U </w:t>
      </w:r>
      <w:r>
        <w:rPr>
          <w:rFonts w:eastAsia="Times New Roman" w:cs="Times New Roman" w:ascii="Times New Roman" w:hAnsi="Times New Roman"/>
          <w:kern w:val="2"/>
          <w:lang w:eastAsia="ar-SA"/>
        </w:rPr>
        <w:t>srpnju 2024. godine za razdoblje od 1-6/2024 upućene ukupno 1016 Rješenja / uplatnica komunalne naknade, te je očekivani prihod prema izdanim uplatnicama iznosio 15.480,07 eura.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ind w:firstLine="72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U kolovozu 2024. godine vlasnicima vikendica  za domaćinstva ukupno je za 2024. godinu upućeno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 xml:space="preserve">490 </w:t>
      </w:r>
      <w:r>
        <w:rPr>
          <w:rFonts w:eastAsia="Times New Roman" w:cs="Times New Roman" w:ascii="Times New Roman" w:hAnsi="Times New Roman"/>
          <w:kern w:val="2"/>
          <w:lang w:eastAsia="ar-SA"/>
        </w:rPr>
        <w:t>uplatnica. Očekivani prihod iznosio je 15.588,82 eura.</w:t>
      </w:r>
    </w:p>
    <w:p>
      <w:pPr>
        <w:pStyle w:val="Normal"/>
        <w:suppressAutoHyphens w:val="true"/>
        <w:spacing w:lineRule="auto" w:line="240" w:before="0" w:after="0"/>
        <w:ind w:firstLine="720"/>
        <w:jc w:val="both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ind w:firstLine="720"/>
        <w:jc w:val="both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U kolovozu 2024. godine privatnim iznajmljivačima je za 2024. godinu (komunalna naknada za prostor koji se iznajmljuje) upućeno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>323</w:t>
      </w:r>
      <w:r>
        <w:rPr>
          <w:rFonts w:eastAsia="Times New Roman" w:cs="Times New Roman" w:ascii="Times New Roman" w:hAnsi="Times New Roman"/>
          <w:kern w:val="2"/>
          <w:lang w:eastAsia="ar-SA"/>
        </w:rPr>
        <w:t xml:space="preserve">  Rješenja. Očekivani prihod po izdanim Rješenjima iznosio je  38.256,19 eura</w:t>
      </w:r>
    </w:p>
    <w:p>
      <w:pPr>
        <w:pStyle w:val="Normal"/>
        <w:suppressAutoHyphens w:val="true"/>
        <w:spacing w:lineRule="auto" w:line="240" w:before="0" w:after="0"/>
        <w:ind w:firstLine="720"/>
        <w:jc w:val="both"/>
        <w:rPr>
          <w:rFonts w:ascii="Times New Roman" w:hAnsi="Times New Roman" w:eastAsia="Times New Roman" w:cs="Times New Roman"/>
          <w:b/>
          <w:b/>
          <w:bCs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bCs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U rujnu  2024. godini ukupno je upućeno 212 Rješenja komunalne naknade za poslovne prostore, te se očekuje prihod od  41.893,58 eura.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lang w:eastAsia="ar-SA"/>
        </w:rPr>
        <w:t xml:space="preserve">REKAPITULACIJA: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ukupna zaduženja po izdanim Rješenjima (uplatnicama) po osnovi kom. naknade za 2024. iznose  126.490,05 eura </w:t>
      </w:r>
      <w:r>
        <w:rPr>
          <w:rFonts w:eastAsia="Times New Roman" w:cs="Times New Roman" w:ascii="Times New Roman" w:hAnsi="Times New Roman"/>
          <w:b/>
          <w:kern w:val="2"/>
          <w:lang w:eastAsia="ar-SA"/>
        </w:rPr>
        <w:t xml:space="preserve"> </w:t>
      </w:r>
    </w:p>
    <w:p>
      <w:pPr>
        <w:pStyle w:val="Normal"/>
        <w:suppressAutoHyphens w:val="true"/>
        <w:snapToGrid w:val="false"/>
        <w:spacing w:lineRule="auto" w:line="240" w:before="0" w:after="0"/>
        <w:ind w:firstLine="360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>-     tijekom 2024. godine je temeljem zastara, usklađivanja stanja u knjigovodstvenoj evidenciji (prenamjena prostora izmjene kvadrata, promjena prebivališta</w:t>
      </w:r>
      <w:r>
        <w:rPr>
          <w:rFonts w:eastAsia="Times New Roman" w:cs="Times New Roman" w:ascii="Times New Roman" w:hAnsi="Times New Roman"/>
          <w:b/>
          <w:color w:val="000000"/>
          <w:kern w:val="2"/>
          <w:lang w:eastAsia="ar-SA"/>
        </w:rPr>
        <w:t xml:space="preserve">) </w:t>
      </w: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>otpisano je  1.697,48 eura</w:t>
      </w:r>
    </w:p>
    <w:p>
      <w:pPr>
        <w:pStyle w:val="Normal"/>
        <w:suppressAutoHyphens w:val="true"/>
        <w:snapToGrid w:val="false"/>
        <w:spacing w:lineRule="auto" w:line="240" w:before="0" w:after="0"/>
        <w:ind w:firstLine="36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 xml:space="preserve">       </w:t>
      </w:r>
      <w:r>
        <w:rPr>
          <w:rFonts w:eastAsia="Times New Roman" w:cs="Times New Roman" w:ascii="Times New Roman" w:hAnsi="Times New Roman"/>
          <w:kern w:val="2"/>
          <w:lang w:eastAsia="ar-SA"/>
        </w:rPr>
        <w:t>ukupna zaduženja po osnovi komunalne naknade za 2024. godinu uključujući i zaduženja iz ranijih godina i otpise  iznose: 165.831,23  eura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ukupno je naplaćeno po osnovi komunalne naknade u 2024.godini 125.946,82 eura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ukupna potraživanja na dan 31.12.2024. godine iznose  39.884,41 eura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Rekapitulacija naplate u 2024. godini ( u  eurima)</w:t>
      </w:r>
    </w:p>
    <w:p>
      <w:pPr>
        <w:pStyle w:val="Normal"/>
        <w:tabs>
          <w:tab w:val="clear" w:pos="708"/>
          <w:tab w:val="left" w:pos="1440" w:leader="none"/>
        </w:tabs>
        <w:suppressAutoHyphens w:val="true"/>
        <w:spacing w:lineRule="auto" w:line="240" w:before="0" w:after="0"/>
        <w:ind w:left="720" w:hanging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tbl>
      <w:tblPr>
        <w:tblW w:w="9222" w:type="dxa"/>
        <w:jc w:val="left"/>
        <w:tblInd w:w="-103" w:type="dxa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5"/>
        <w:gridCol w:w="1132"/>
        <w:gridCol w:w="1562"/>
        <w:gridCol w:w="1275"/>
        <w:gridCol w:w="1416"/>
        <w:gridCol w:w="1121"/>
        <w:gridCol w:w="1450"/>
      </w:tblGrid>
      <w:tr>
        <w:trPr>
          <w:trHeight w:val="830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Početno stanje na dan 01.01.2023.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Otpisi/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usklađenja/izmjene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po izdanim Rješenjima u 2024.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u 2024. 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(1-2+3)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Ukupno naplaćeno u 2024.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% realizacije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(5/4*100)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Potraživanja na dan 31.12.2024.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(4-5)</w:t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6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</w:t>
            </w:r>
          </w:p>
        </w:tc>
      </w:tr>
      <w:tr>
        <w:trPr>
          <w:trHeight w:val="664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720" w:leader="none"/>
              </w:tabs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tabs>
                <w:tab w:val="clear" w:pos="708"/>
                <w:tab w:val="left" w:pos="720" w:leader="none"/>
              </w:tabs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41.038,66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1.697,48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126.490,05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165.831,23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125.946,82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75,95%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39.884,41</w:t>
            </w:r>
          </w:p>
        </w:tc>
      </w:tr>
    </w:tbl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>Rekapitulacija naplate u 2023. godini( u eurima)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</w:r>
    </w:p>
    <w:tbl>
      <w:tblPr>
        <w:tblW w:w="9222" w:type="dxa"/>
        <w:jc w:val="left"/>
        <w:tblInd w:w="-103" w:type="dxa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5"/>
        <w:gridCol w:w="1132"/>
        <w:gridCol w:w="1562"/>
        <w:gridCol w:w="1275"/>
        <w:gridCol w:w="1416"/>
        <w:gridCol w:w="1121"/>
        <w:gridCol w:w="1450"/>
      </w:tblGrid>
      <w:tr>
        <w:trPr>
          <w:trHeight w:val="830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Početno stanje na dan 01.01.2023.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Otpisi/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usklađenja/izmjene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po izdanim Rješenjima u 2023.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u 2023. 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(1-2+3)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Ukupno naplaćeno u 2023.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% realizacije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(5/4*100)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Potraživanja na dan 31.12.2023.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(4-5)</w:t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6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</w:t>
            </w:r>
          </w:p>
        </w:tc>
      </w:tr>
      <w:tr>
        <w:trPr>
          <w:trHeight w:val="664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720" w:leader="none"/>
              </w:tabs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tabs>
                <w:tab w:val="clear" w:pos="708"/>
                <w:tab w:val="left" w:pos="720" w:leader="none"/>
              </w:tabs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41.480,06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4.890,20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121.199,76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157.789,62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116.750,96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73,99%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sz w:val="20"/>
                <w:szCs w:val="20"/>
                <w:lang w:eastAsia="ar-SA"/>
              </w:rPr>
              <w:t>41.038,66</w:t>
            </w:r>
          </w:p>
        </w:tc>
      </w:tr>
    </w:tbl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   </w:t>
        <w:tab/>
        <w:t xml:space="preserve">                                                                                       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Postotak realizacije naplate komunalne naknade u 2024. godini iznosio je 75,95%, dok je u 2023. godini iznosio 73,99 %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val="pl-PL"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>U</w:t>
      </w:r>
      <w:r>
        <w:rPr>
          <w:rFonts w:eastAsia="Times New Roman" w:cs="Times New Roman" w:ascii="Times New Roman" w:hAnsi="Times New Roman"/>
          <w:kern w:val="2"/>
          <w:lang w:val="pl-PL" w:eastAsia="ar-SA"/>
        </w:rPr>
        <w:t xml:space="preserve"> svrhu poboljšanja naplate općinskih prihoda tijekom 2024. godine redovno su slane opomene spornim dužnicima  pismenim putem.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val="pl-PL" w:eastAsia="ar-SA"/>
        </w:rPr>
      </w:pPr>
      <w:r>
        <w:rPr>
          <w:rFonts w:eastAsia="Times New Roman" w:cs="Times New Roman" w:ascii="Times New Roman" w:hAnsi="Times New Roman"/>
          <w:kern w:val="2"/>
          <w:lang w:val="pl-PL"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val="pl-PL" w:eastAsia="ar-SA"/>
        </w:rPr>
      </w:pPr>
      <w:r>
        <w:rPr>
          <w:rFonts w:eastAsia="Times New Roman" w:cs="Times New Roman" w:ascii="Times New Roman" w:hAnsi="Times New Roman"/>
          <w:kern w:val="2"/>
          <w:lang w:val="pl-PL"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lang w:eastAsia="ar-SA"/>
        </w:rPr>
        <w:t>KOMUNALNI DOPRINOS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  <w:kern w:val="2"/>
          <w:lang w:eastAsia="ar-SA"/>
        </w:rPr>
      </w:pPr>
      <w:r>
        <w:rPr>
          <w:rFonts w:eastAsia="Times New Roman" w:cs="Times New Roman" w:ascii="Times New Roman" w:hAnsi="Times New Roman"/>
          <w:b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Temeljem članka 77. Zakona o komunalnom gospodarstvu (Narodne novine br. 68/18, 110/18 i 32/20),  Općinsko vijeće Blato donijelo je Odluku o komunalnom doprinosu ( Službeni glasnik Općine Blato br. 02/2019) kojim se financira izgradnja objekata i uređaja komunalne infrastrukture.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>Komunalni doprinos plaćaju vlasnici građevinskih zemljišta koji grade novi, odnosno dograđuju ili nadograđuju postojeći objekt, te legaliziraju već postojeći objekt, a izračunava se množenjem ukupnog obujma građevine i koeficijenta komunalnog doprinosa.</w:t>
      </w:r>
    </w:p>
    <w:p>
      <w:pPr>
        <w:pStyle w:val="Normal"/>
        <w:suppressAutoHyphens w:val="true"/>
        <w:snapToGrid w:val="fals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>U protekloj godini izdano je ukupno 27 rješenja komunalnog doprinosa čija potraživanja iznose 42.411,95 eura.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highlight w:val="cyan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Od ukupno 27 izdana  rješenja, za gradnju novih objekata izdano je 16 rješenja čija potraživanja iznose 29.846,01 eura. Preostalih 11 rješenja komunalnog doprinosa odnosi se na legalizaciju nezakonito izgrađenih zgrada.    </w:t>
      </w:r>
    </w:p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Ukupna zaduženja  po osnovi komunalnog doprinosa za 2024. godinu uključujući i dugovanja iz ranijih godina iznose 71.454,28 eura, a naplaćeno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>je 35.822,58</w:t>
      </w:r>
      <w:r>
        <w:rPr>
          <w:rFonts w:eastAsia="Times New Roman" w:cs="Times New Roman" w:ascii="Times New Roman" w:hAnsi="Times New Roman"/>
          <w:kern w:val="2"/>
          <w:lang w:eastAsia="ar-SA"/>
        </w:rPr>
        <w:t xml:space="preserve">  eura ili  50,13 %.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Tijekom 2024. godine upućene su opomene pojedinim  spornim dužnicima iz prethodnih godina.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ab/>
        <w:t xml:space="preserve">Ukupna potraživanja komunalnog doprinosa na dan 31. prosinca 2024. godine iznose 71.454,28  eura. </w:t>
      </w:r>
    </w:p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>Treba napomenuti kako se od ukupnih potraživanja u 2024. godini dio potraživanja u iznosu od 2.428,87 eura odnosi na obročne otplate građana koje dospijevaju na naplatu u narednom periodu sukladno dinamici plaćanja, što svakako smanjuje postotak realizacije naplate kom. doprinosa.</w:t>
      </w:r>
    </w:p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 xml:space="preserve">Uzimajući u obzir dospjelost potraživanja od komunalnog doprinosa na dan 31.12.2024. godine, postotak realizacije po dospjelim potraživanjima iznosio bi 51,9 %.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kern w:val="0"/>
          <w:lang w:eastAsia="hr-HR"/>
        </w:rPr>
      </w:pPr>
      <w:r>
        <w:rPr>
          <w:rFonts w:eastAsia="Times New Roman" w:cs="Times New Roman" w:ascii="Times New Roman" w:hAnsi="Times New Roman"/>
          <w:color w:val="000000"/>
          <w:kern w:val="0"/>
          <w:lang w:eastAsia="hr-HR"/>
        </w:rPr>
        <w:t xml:space="preserve">Ministarstvo financija je 12. lipnja 2020. godine donijelo Upute o knjigovodstvenom evidentiranju komunalnog doprinosa kod jedinica lokalne samouprave, te su jedinice po izdavanju rješenja dužne evidentirati potraživanja prema obvezniku uplate i obračunati prihod u bruto iznosu (iznosu bez oslobođenja). 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Za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 xml:space="preserve">iznos oslobođenja </w:t>
      </w:r>
      <w:r>
        <w:rPr>
          <w:rFonts w:eastAsia="Times New Roman" w:cs="Times New Roman" w:ascii="Times New Roman" w:hAnsi="Times New Roman"/>
          <w:kern w:val="2"/>
          <w:lang w:eastAsia="ar-SA"/>
        </w:rPr>
        <w:t xml:space="preserve">jedinice lokalne samouprave u svojim poslovnim knjigama umanjuju obračunati prihod i potraživanje uz istovremeno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 xml:space="preserve">zaduženje i odobrenje odgovarajućeg osnovnog računa podskupine 915 </w:t>
      </w:r>
      <w:r>
        <w:rPr>
          <w:rFonts w:eastAsia="Times New Roman" w:cs="Times New Roman" w:ascii="Times New Roman" w:hAnsi="Times New Roman"/>
          <w:bCs/>
          <w:i/>
          <w:iCs/>
          <w:kern w:val="2"/>
          <w:lang w:eastAsia="ar-SA"/>
        </w:rPr>
        <w:t xml:space="preserve">Promjene u vrijednosti i obujmu imovine i obveza. </w:t>
      </w:r>
      <w:r>
        <w:rPr>
          <w:rFonts w:eastAsia="Times New Roman" w:cs="Times New Roman" w:ascii="Times New Roman" w:hAnsi="Times New Roman"/>
          <w:bCs/>
          <w:kern w:val="2"/>
          <w:lang w:eastAsia="ar-SA"/>
        </w:rPr>
        <w:t xml:space="preserve">Prihod ostvaren od komunalnog doprinosa evidentiraju u iznosu umanjenom za iznos oslobođenja </w:t>
      </w:r>
      <w:r>
        <w:rPr>
          <w:rFonts w:eastAsia="Times New Roman" w:cs="Times New Roman" w:ascii="Times New Roman" w:hAnsi="Times New Roman"/>
          <w:kern w:val="2"/>
          <w:lang w:eastAsia="ar-SA"/>
        </w:rPr>
        <w:t>(iznosu uplaćenom na žiro-račun jedinice lokalne samouprave.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>Sukladno Odluci</w:t>
      </w:r>
      <w:r>
        <w:rPr>
          <w:rFonts w:eastAsia="Times New Roman" w:cs="Times New Roman" w:ascii="Times New Roman" w:hAnsi="Times New Roman"/>
          <w:kern w:val="2"/>
          <w:lang w:eastAsia="ar-SA"/>
        </w:rPr>
        <w:t xml:space="preserve"> o komunalnom doprinosu stanovnici Općine Blato oslobađaju se plaćanja komunalnog doprinosa za stambene objekte u visini od 50% utvrđene obveze do 600 m3 po objektu, te je po toj osnovi tijekom </w:t>
      </w: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  <w:t xml:space="preserve"> 2024. godine  oslobađanje iznosilo 8.432,23 eura. Isto je evidentirano u poslovnim knjigama, no u tablici ne ulazi u zbroj ukupnih potraživanja, kao ni naplate.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Rekapitulacija naplate u 2024. godini: (u eurima)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tbl>
      <w:tblPr>
        <w:tblW w:w="10879" w:type="dxa"/>
        <w:jc w:val="left"/>
        <w:tblInd w:w="-885" w:type="dxa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65"/>
        <w:gridCol w:w="1232"/>
        <w:gridCol w:w="1377"/>
        <w:gridCol w:w="1098"/>
        <w:gridCol w:w="1374"/>
        <w:gridCol w:w="1098"/>
        <w:gridCol w:w="1100"/>
        <w:gridCol w:w="1100"/>
        <w:gridCol w:w="1234"/>
      </w:tblGrid>
      <w:tr>
        <w:trPr>
          <w:trHeight w:val="1768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Potraživanje na dan 01.01.2024.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Obročna otplata na dan 31.12.2024.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-dospijeva u idućim razdobljima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Oslobađanja od plaćanja komunalnog doprinosa temeljem Odluke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Otpisi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po izdanim Rješenjima u 2024.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Ukupna potraživanja u 2024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(1-4+5)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Ukupno naplaćeno u 2024.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% realizacije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(7/6*100)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Potraživanja na dan 31.12.2024.</w:t>
            </w:r>
          </w:p>
        </w:tc>
      </w:tr>
      <w:tr>
        <w:trPr>
          <w:trHeight w:val="258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1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6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8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9</w:t>
            </w:r>
          </w:p>
        </w:tc>
      </w:tr>
      <w:tr>
        <w:trPr>
          <w:trHeight w:val="536" w:hRule="atLeast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29.281,23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2.428,87</w:t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8.432,23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238,90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42.411,95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71.454,28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35.822,58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50,13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35.631,70</w:t>
            </w:r>
          </w:p>
        </w:tc>
      </w:tr>
    </w:tbl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Rekapitulacija naplate u 2023. godini: (u eurima)</w:t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tbl>
      <w:tblPr>
        <w:tblW w:w="11087" w:type="dxa"/>
        <w:jc w:val="left"/>
        <w:tblInd w:w="-885" w:type="dxa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89"/>
        <w:gridCol w:w="1258"/>
        <w:gridCol w:w="1401"/>
        <w:gridCol w:w="1119"/>
        <w:gridCol w:w="1401"/>
        <w:gridCol w:w="1118"/>
        <w:gridCol w:w="1121"/>
        <w:gridCol w:w="1120"/>
        <w:gridCol w:w="1258"/>
      </w:tblGrid>
      <w:tr>
        <w:trPr>
          <w:trHeight w:val="1715" w:hRule="atLeast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Potraživanje na dan 01.01.2023.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Obročna otplata na dan 31.12.2023.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-dospijeva u idućim razdobljima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Oslobađanja od plaćanja komunalnog doprinosa temeljem Odluke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Otpisi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Ukupna potraživanja po izdanim Rješenjima u 2023. 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Ukupna potraživanja u 2023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(1-4+5)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Ukupno naplaćeno u 2023.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% realizacije</w:t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(7/6*100)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Potraživanja na dan 31.12.2023.</w:t>
            </w:r>
          </w:p>
        </w:tc>
      </w:tr>
      <w:tr>
        <w:trPr>
          <w:trHeight w:val="251" w:hRule="atLeast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1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6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8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9</w:t>
            </w:r>
          </w:p>
        </w:tc>
      </w:tr>
      <w:tr>
        <w:trPr>
          <w:trHeight w:val="520" w:hRule="atLeast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44.646,51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7.013,52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4.742,58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</w:r>
          </w:p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4.667,62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39.905,39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79.884,28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bookmarkStart w:id="0" w:name="_Hlk157001477"/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50.603,05</w:t>
            </w:r>
            <w:bookmarkEnd w:id="0"/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63,35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uppressAutoHyphens w:val="true"/>
              <w:snapToGrid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kern w:val="2"/>
                <w:lang w:eastAsia="ar-SA"/>
              </w:rPr>
            </w:pPr>
            <w:bookmarkStart w:id="1" w:name="_Hlk157001602"/>
            <w:r>
              <w:rPr>
                <w:rFonts w:eastAsia="Times New Roman" w:cs="Times New Roman" w:ascii="Times New Roman" w:hAnsi="Times New Roman"/>
                <w:kern w:val="2"/>
                <w:lang w:eastAsia="ar-SA"/>
              </w:rPr>
              <w:t>29.281,23</w:t>
            </w:r>
            <w:bookmarkEnd w:id="1"/>
          </w:p>
        </w:tc>
      </w:tr>
    </w:tbl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kern w:val="2"/>
          <w:lang w:eastAsia="ar-SA"/>
        </w:rPr>
      </w:pPr>
      <w:r>
        <w:rPr>
          <w:rFonts w:eastAsia="Times New Roman" w:cs="Times New Roman" w:ascii="Times New Roman" w:hAnsi="Times New Roman"/>
          <w:color w:val="000000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tabs>
          <w:tab w:val="clear" w:pos="708"/>
          <w:tab w:val="left" w:pos="720" w:leader="none"/>
        </w:tabs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 xml:space="preserve">Raspravljajući o Izvješću o komunalnoj naknadi i komunalnom doprinosu, Općinski načelnik donosi  slijedeći </w:t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ZAKLJUČAK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I</w:t>
        <w:tab/>
        <w:t>Zadužuje se Upravni odjel za komunalne djelatnosti, infrastrukturu, gospodarenje prostorom i zaštitu okoliša provesti postupak prisilne naplate komunalne naknade  i komunalnog doprinosa.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  <w:t>II</w:t>
        <w:tab/>
        <w:t>Kod poreznih obveznika kod kojih taj postupak nije moguće provesti, potrebno je izvršiti zabilježbu nekretnine putem Općinskog suda u Korčuli.</w:t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jc w:val="both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lang w:eastAsia="ar-SA"/>
        </w:rPr>
      </w:pPr>
      <w:r>
        <w:rPr>
          <w:rFonts w:eastAsia="Times New Roman" w:cs="Times New Roman" w:ascii="Times New Roman" w:hAnsi="Times New Roman"/>
          <w:kern w:val="2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</w:r>
      <w:bookmarkStart w:id="2" w:name="_Hlk188524747"/>
      <w:bookmarkStart w:id="3" w:name="_Hlk188524747"/>
      <w:bookmarkEnd w:id="3"/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eastAsia="Times New Roman" w:cs="Times New Roman"/>
          <w:kern w:val="2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kern w:val="2"/>
          <w:sz w:val="24"/>
          <w:szCs w:val="24"/>
          <w:lang w:eastAsia="ar-SA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/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hr-H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009e8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hr-H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b5f90"/>
    <w:rPr>
      <w:rFonts w:ascii="Tahoma" w:hAnsi="Tahoma" w:cs="Tahoma"/>
      <w:sz w:val="16"/>
      <w:szCs w:val="16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b5f9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1427</TotalTime>
  <Application>LibreOffice/6.4.4.2$Windows_X86_64 LibreOffice_project/3d775be2011f3886db32dfd395a6a6d1ca2630ff</Application>
  <Pages>4</Pages>
  <Words>1123</Words>
  <Characters>7064</Characters>
  <CharactersWithSpaces>8377</CharactersWithSpaces>
  <Paragraphs>171</Paragraphs>
  <Company>Grizli777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2025-03-18T07:38:00Z</dcterms:created>
  <dc:creator>User</dc:creator>
  <dc:description/>
  <dc:language>hr-HR</dc:language>
  <cp:lastModifiedBy/>
  <cp:lastPrinted>2025-03-12T13:28:00Z</cp:lastPrinted>
  <dcterms:modified xsi:type="dcterms:W3CDTF">2025-03-20T12:01:56Z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Grizli777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