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2450" w:rsidRDefault="00904C52">
      <w:pPr>
        <w:tabs>
          <w:tab w:val="left" w:pos="567"/>
        </w:tabs>
        <w:spacing w:after="320" w:line="240" w:lineRule="auto"/>
        <w:jc w:val="right"/>
        <w:rPr>
          <w:rFonts w:ascii="Times New Roman" w:eastAsia="Times New Roman" w:hAnsi="Times New Roman" w:cs="Times New Roman"/>
        </w:rPr>
      </w:pPr>
      <w:r>
        <w:rPr>
          <w:rFonts w:ascii="Times New Roman" w:eastAsia="Times New Roman" w:hAnsi="Times New Roman" w:cs="Times New Roman"/>
        </w:rPr>
        <w:t>PRIJEDLOG</w:t>
      </w:r>
      <w:r w:rsidR="00BF5B0F">
        <w:rPr>
          <w:rFonts w:ascii="Times New Roman" w:eastAsia="Times New Roman" w:hAnsi="Times New Roman" w:cs="Times New Roman"/>
        </w:rPr>
        <w:tab/>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Na temelju članka 109. Zakona o prostornom uređenju (Narodne novine, broj 153/13, 65/17, 114/18, 39/19, 98/19, 67/23), članka 92.  Statuta Općine Blato (Službeni glasnik Općine Blato 2/21), Odluke o izradi Ciljanih izmjena i dopuna Prostornog plana uređenja Općine Blato (Službeni glasnik Općine Blato 1/23),</w:t>
      </w:r>
      <w:r w:rsidR="00904C52">
        <w:rPr>
          <w:rFonts w:ascii="Times New Roman" w:eastAsia="Times New Roman" w:hAnsi="Times New Roman" w:cs="Times New Roman"/>
        </w:rPr>
        <w:t xml:space="preserve"> Suglasnosti Ministarstva prostornog uređenja, graditeljstva i državne imovine na amandmane</w:t>
      </w:r>
      <w:r>
        <w:rPr>
          <w:rFonts w:ascii="Times New Roman" w:eastAsia="Times New Roman" w:hAnsi="Times New Roman" w:cs="Times New Roman"/>
        </w:rPr>
        <w:t xml:space="preserve"> Općinsko vijeće Općine Blato je na </w:t>
      </w:r>
      <w:r w:rsidR="00904C52">
        <w:rPr>
          <w:rFonts w:ascii="Times New Roman" w:eastAsia="Times New Roman" w:hAnsi="Times New Roman" w:cs="Times New Roman"/>
        </w:rPr>
        <w:t>.............</w:t>
      </w:r>
      <w:r>
        <w:rPr>
          <w:rFonts w:ascii="Times New Roman" w:eastAsia="Times New Roman" w:hAnsi="Times New Roman" w:cs="Times New Roman"/>
        </w:rPr>
        <w:t xml:space="preserve"> sjednici održanoj dana </w:t>
      </w:r>
      <w:r w:rsidR="00904C52">
        <w:rPr>
          <w:rFonts w:ascii="Times New Roman" w:eastAsia="Times New Roman" w:hAnsi="Times New Roman" w:cs="Times New Roman"/>
        </w:rPr>
        <w:t>....................</w:t>
      </w:r>
      <w:r>
        <w:rPr>
          <w:rFonts w:ascii="Times New Roman" w:eastAsia="Times New Roman" w:hAnsi="Times New Roman" w:cs="Times New Roman"/>
        </w:rPr>
        <w:t xml:space="preserve"> 2024. godine donijelo</w:t>
      </w:r>
    </w:p>
    <w:p w:rsidR="00D62450" w:rsidRDefault="00BF5B0F">
      <w:pPr>
        <w:tabs>
          <w:tab w:val="left" w:pos="567"/>
        </w:tabs>
        <w:spacing w:after="320" w:line="240" w:lineRule="auto"/>
        <w:jc w:val="center"/>
        <w:rPr>
          <w:rFonts w:ascii="Times New Roman" w:eastAsia="Times New Roman" w:hAnsi="Times New Roman" w:cs="Times New Roman"/>
          <w:b/>
        </w:rPr>
      </w:pPr>
      <w:r>
        <w:rPr>
          <w:rFonts w:ascii="Times New Roman" w:eastAsia="Times New Roman" w:hAnsi="Times New Roman" w:cs="Times New Roman"/>
          <w:b/>
        </w:rPr>
        <w:t>ODLUKU O CILJANIM IZMJENAMA I DOPUNAMA</w:t>
      </w:r>
      <w:r>
        <w:rPr>
          <w:rFonts w:ascii="Times New Roman" w:eastAsia="Times New Roman" w:hAnsi="Times New Roman" w:cs="Times New Roman"/>
          <w:b/>
        </w:rPr>
        <w:br/>
        <w:t xml:space="preserve">ODLUKE O DONOŠENJU </w:t>
      </w:r>
      <w:r>
        <w:rPr>
          <w:rFonts w:ascii="Times New Roman" w:eastAsia="Times New Roman" w:hAnsi="Times New Roman" w:cs="Times New Roman"/>
          <w:b/>
        </w:rPr>
        <w:br/>
        <w:t>PROSTORNOG PLANA UREĐENJA OPĆINE BLATO</w:t>
      </w:r>
    </w:p>
    <w:p w:rsidR="00D62450" w:rsidRDefault="00D62450">
      <w:pPr>
        <w:tabs>
          <w:tab w:val="left" w:pos="567"/>
        </w:tabs>
        <w:spacing w:after="320" w:line="240" w:lineRule="auto"/>
        <w:rPr>
          <w:rFonts w:ascii="Times New Roman" w:eastAsia="Times New Roman" w:hAnsi="Times New Roman" w:cs="Times New Roman"/>
        </w:rPr>
      </w:pP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UVODNE ODREDBE</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Donose se Ciljane izmjene i dopune Prostornog plana uređenja Općine Blato, što ih je izradila tvrtka Grgurević &amp; partneri d.o.o. iz Zagreba u suradnji s nositeljem izrade Upravnim odjelom za komunalne djelatnosti, infrastrukturu, gospodarenje prostorom i zaštitu okoliša, 2024. godine.</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2.</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(1) Sastavni dio ove odluke je elaborat pod nazivom: „Ciljane izmjene i dopune Prostornog plana uređenja Općine Blato; tekstualni dio – provedbene odredbe; obrazloženje; grafički dio – kartografski prikazi “, a koji se sastoji od:</w:t>
      </w:r>
      <w:r>
        <w:rPr>
          <w:rFonts w:ascii="Times New Roman" w:eastAsia="Times New Roman" w:hAnsi="Times New Roman" w:cs="Times New Roman"/>
        </w:rPr>
        <w:br/>
        <w:t>1. tekstualnog dijela – provedbenih odredbi</w:t>
      </w:r>
      <w:r>
        <w:rPr>
          <w:rFonts w:ascii="Times New Roman" w:eastAsia="Times New Roman" w:hAnsi="Times New Roman" w:cs="Times New Roman"/>
        </w:rPr>
        <w:br/>
        <w:t>2. obrazloženja</w:t>
      </w:r>
      <w:r>
        <w:rPr>
          <w:rFonts w:ascii="Times New Roman" w:eastAsia="Times New Roman" w:hAnsi="Times New Roman" w:cs="Times New Roman"/>
        </w:rPr>
        <w:br/>
        <w:t>3. grafičkog dijela – kartografskih prikaza, a u kojem su sadržani sljedeći kartografski prikazi:</w:t>
      </w:r>
      <w:r>
        <w:rPr>
          <w:rFonts w:ascii="Times New Roman" w:eastAsia="Times New Roman" w:hAnsi="Times New Roman" w:cs="Times New Roman"/>
        </w:rPr>
        <w:br/>
        <w:t>- kartografski prikaz 1: Korištenje i namjena površina; mjerilo 1 : 25000</w:t>
      </w:r>
      <w:r>
        <w:rPr>
          <w:rFonts w:ascii="Times New Roman" w:eastAsia="Times New Roman" w:hAnsi="Times New Roman" w:cs="Times New Roman"/>
        </w:rPr>
        <w:br/>
        <w:t>- kartografski prikaz 2a: Infrastrukturni sustavi – Promet – cestovni, pomorski i zračni; mjerilo 1 : 25000</w:t>
      </w:r>
      <w:r>
        <w:rPr>
          <w:rFonts w:ascii="Times New Roman" w:eastAsia="Times New Roman" w:hAnsi="Times New Roman" w:cs="Times New Roman"/>
        </w:rPr>
        <w:br/>
        <w:t>- kartografski prikaz 2b: Infrastrukturni sustavi – Pošta, elektroničke komunikacije i elektroenergetika; mjerilo 1 : 25000</w:t>
      </w:r>
      <w:r>
        <w:rPr>
          <w:rFonts w:ascii="Times New Roman" w:eastAsia="Times New Roman" w:hAnsi="Times New Roman" w:cs="Times New Roman"/>
        </w:rPr>
        <w:br/>
        <w:t>- kartografski prikaz 2c.: Infrastrukturni sustavi – Vodnogospodarski sustav, sustav gospodarenja otpadom; mjerilo 1 : 25000</w:t>
      </w:r>
      <w:r>
        <w:rPr>
          <w:rFonts w:ascii="Times New Roman" w:eastAsia="Times New Roman" w:hAnsi="Times New Roman" w:cs="Times New Roman"/>
        </w:rPr>
        <w:br/>
        <w:t>- kartografski prikaz 3a: Uvjeti korištenja, uređenja i zaštite prostora – Prirodne vrijednosti i kulturna dobra; mjerilo 1 : 25000.</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(2) Elaborat iz stavka 1. ovog članka u odgovarajućim dijelovima zamjenjuje i dopunjuje elaborat iz Odluke o donošenju Prostornog plana uređenja Općine Blato (Službeni glasnik Općine Blato 3/03, 5/04, 3/07, 4/07, 7/07, 2/09, 7/13, 4/14, 8/15, 6/18, 3/21).</w:t>
      </w:r>
    </w:p>
    <w:p w:rsidR="00D62450" w:rsidRDefault="00D62450">
      <w:pPr>
        <w:tabs>
          <w:tab w:val="left" w:pos="567"/>
        </w:tabs>
        <w:spacing w:after="320" w:line="240" w:lineRule="auto"/>
        <w:rPr>
          <w:rFonts w:ascii="Times New Roman" w:eastAsia="Times New Roman" w:hAnsi="Times New Roman" w:cs="Times New Roman"/>
        </w:rPr>
      </w:pPr>
    </w:p>
    <w:p w:rsidR="00D62450" w:rsidRDefault="00D62450">
      <w:pPr>
        <w:tabs>
          <w:tab w:val="left" w:pos="567"/>
        </w:tabs>
        <w:spacing w:after="320" w:line="240" w:lineRule="auto"/>
        <w:rPr>
          <w:rFonts w:ascii="Times New Roman" w:eastAsia="Times New Roman" w:hAnsi="Times New Roman" w:cs="Times New Roman"/>
        </w:rPr>
      </w:pP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PROVEDBENE ODREDBE</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lastRenderedPageBreak/>
        <w:t>Članak 3.</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 U članku 8., stavku 1., podstavku (b), prvoj točki, prvoj podtočki, iza teksta „osnovne namjene“ dodaje se tekst „gospodarske i zaštitne šume (Š1, Š2)“ te se brišu podpodtočke a. i b.</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(2) U članku 8., stavku 1., podstavku (b), prvoj točki, drugoj podtočki, briše se prva podpodtočka a., a dosadašnje podpodtočke b. i c. postaju podpodtočke a. i b.</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(3) U članku 8., stavku 1., podstavku (b), drugoj točki, petoj podtočki, iza teksta „i odlaganja otpada“ dodaje se tekst „, s razgraničenom površinom reciklažnog dvorišta za građevinski otpad (GO)“.</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4.</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 U članku 9., stavku 9., iza teksta „sustava pomorskog prometa,“ dodaje se tekst „elektroenergetskog i vodnogospodarskog sustava“ te se iza teksta „(garaže, kolodvori, benzinske crpke i sl.)“ dodaje tekst „i infrastrukturnih građevina kako slijedi: zračnog prometa - helidrom (IS1); elektroenergetska - za proizvodnju - samostojeća sunčana elektrana (IS2). U sustavu gospodarenja otpadom, izvan građevinskih područja zasebno je planirana površina (GO) - reciklažnog dvorišta za građevinski otpad“.</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(2) U članku 9., stavku 11., briše se tekst „osobito vrijedna obradiva tla (P1) obuhvaćaju najkvalitetnije površine poljoprivrednog zemljišta koje oblikom, položajem i veličinom omogućuju najučinkovitiju primjenu poljoprivredne tehnologije namijenjene za intenzivnu poljoprivrednu proizvodnju te realizaciju dopuštenih zahvata u prostoru u svrhu obavljanja poljoprivredne proizvodnje;“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(3) U članku 9., stavku 12., ispred tekst „zaštitne šume“ dodaje se tekst „gospodarske i“, ispred teksta „Š2“ u zagradama dodaje se tekst „Š1,“, ispred teksta „planirane u svrhu zaštite“ dodaje se tekst „namijenjene gospodarskom korištenju za proizvodnju šumskih proizvoda (sječa za drvnu građu ili ogrjev, lov i uzgoj divljači, ubiranje šumskih plodina) i/ili“, te se tekst „; šume posebne namjene (Š3) planirane u svrhu održanja ekoloških vrijednosti prostora ili specifičnih (zaštićenih) biotopa, rekreativne namjene i oplemenjivanja krajobraza“ zamjenjuje tekstom „i/ili za ostale djelatnosti sukladno posebnom propisu“.</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5.</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 U članku 11a., stavku 1., iza podstavka (b) dodaje se podstavak (c) koji glasi: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„(c)</w:t>
      </w:r>
      <w:r>
        <w:rPr>
          <w:rFonts w:ascii="Times New Roman" w:eastAsia="Times New Roman" w:hAnsi="Times New Roman" w:cs="Times New Roman"/>
        </w:rPr>
        <w:tab/>
        <w:t>građevina zračnog prometa: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w:t>
      </w:r>
      <w:r>
        <w:rPr>
          <w:rFonts w:ascii="Times New Roman" w:eastAsia="Times New Roman" w:hAnsi="Times New Roman" w:cs="Times New Roman"/>
        </w:rPr>
        <w:tab/>
        <w:t>helidrom“.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(2) U članku 11a., stavku 1., dosadašnji podstavci (c) i (d) postaju podstavci (d) i (e).</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(3) U članku 11a., stavku 2., podstavak (c) mijenja se i glasi:</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„(c)</w:t>
      </w:r>
      <w:r>
        <w:rPr>
          <w:rFonts w:ascii="Times New Roman" w:eastAsia="Times New Roman" w:hAnsi="Times New Roman" w:cs="Times New Roman"/>
        </w:rPr>
        <w:tab/>
        <w:t>elektroenergetske građevine:</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w:t>
      </w:r>
      <w:r>
        <w:rPr>
          <w:rFonts w:ascii="Times New Roman" w:eastAsia="Times New Roman" w:hAnsi="Times New Roman" w:cs="Times New Roman"/>
        </w:rPr>
        <w:tab/>
        <w:t>DV 110 kV Stari Grad – Blato</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w:t>
      </w:r>
      <w:r>
        <w:rPr>
          <w:rFonts w:ascii="Times New Roman" w:eastAsia="Times New Roman" w:hAnsi="Times New Roman" w:cs="Times New Roman"/>
        </w:rPr>
        <w:tab/>
        <w:t>DV 110 kV Blato - Ponikve</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lastRenderedPageBreak/>
        <w:t>-</w:t>
      </w:r>
      <w:r>
        <w:rPr>
          <w:rFonts w:ascii="Times New Roman" w:eastAsia="Times New Roman" w:hAnsi="Times New Roman" w:cs="Times New Roman"/>
        </w:rPr>
        <w:tab/>
        <w:t>TS 110/35 kV „Blato““.</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6.</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U članku 43a., stavku 1., podstavku (e) iza riječi „infrastrukturne“ dodaje se tekst „površine,“, a iza riječi „građevine“ dodaje se tekst „i uređaji, sukladno detaljnijim uvjetima poglavlja 5.“.</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7.</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 U članku 59., stavku 1., podstavku (d), iza desete točke dodaju se jedanaesta i dvanaesta točka koje glase:</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w:t>
      </w:r>
      <w:r>
        <w:rPr>
          <w:rFonts w:ascii="Times New Roman" w:eastAsia="Times New Roman" w:hAnsi="Times New Roman" w:cs="Times New Roman"/>
        </w:rPr>
        <w:tab/>
        <w:t>L-69020 - Kućište (GO) - Petrov vrh</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w:t>
      </w:r>
      <w:r>
        <w:rPr>
          <w:rFonts w:ascii="Times New Roman" w:eastAsia="Times New Roman" w:hAnsi="Times New Roman" w:cs="Times New Roman"/>
        </w:rPr>
        <w:tab/>
        <w:t>Njivice - SE Profundi.“.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(2) U članku 59., na kraju stavka 4. dodaje se rečenica koja glasi: „Sukladno posebnom propisu o cestama, Općina Blato vodi jedinstvenu bazu podataka o nerazvrstanim cestama na svom području, a njihova gradnja i održavanje dopušteni su i bez da su iste određene na kartografskim prikazima Plana, uz pridržavanje ostalih uvjeta provedbenih odredbi Plana te posebnih propisa o cestama i sigurnosti prometa na cestama.“.</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8.</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U članku 69. stavku 1., tekst „primjenjivim odredbama Pravilnika o helidromima (NN 24/11) gdje su“ zamjenjuje se tekstom „posebnim propisom kojim su“, a tekst „Pravilniku o helidromima“ zamjenjuje se tekstom „posebnom propisu“.</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9.</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U članku 86., iza stavka 2., dodaje se stavak 3. koji glasi: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„(3) </w:t>
      </w:r>
      <w:r>
        <w:rPr>
          <w:rFonts w:ascii="Times New Roman" w:eastAsia="Times New Roman" w:hAnsi="Times New Roman" w:cs="Times New Roman"/>
        </w:rPr>
        <w:tab/>
        <w:t xml:space="preserve">Rješenje odvodnje onečišćenih oborinskih voda sa radnih, manipulativnih, prometnih, parkirališnih i sličnih površina treba predvidjeti uz pročišćavanje na propisani način - putem odgovarajućih sustava pročišćavanja oborinskih onečišćenih voda - prije dispozicije.“. </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10.</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U članku 97., stavku 1., iza riječi „pojasa“ dodaje se tekst „kako slijedi“, a podstavak (a) mijenja se i glasi: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„(a)</w:t>
      </w:r>
      <w:r>
        <w:rPr>
          <w:rFonts w:ascii="Times New Roman" w:eastAsia="Times New Roman" w:hAnsi="Times New Roman" w:cs="Times New Roman"/>
        </w:rPr>
        <w:tab/>
        <w:t xml:space="preserve">DV 110 kV </w:t>
      </w:r>
      <w:r>
        <w:rPr>
          <w:rFonts w:ascii="Times New Roman" w:eastAsia="Times New Roman" w:hAnsi="Times New Roman" w:cs="Times New Roman"/>
        </w:rPr>
        <w:tab/>
      </w:r>
      <w:r>
        <w:rPr>
          <w:rFonts w:ascii="Times New Roman" w:eastAsia="Times New Roman" w:hAnsi="Times New Roman" w:cs="Times New Roman"/>
        </w:rPr>
        <w:tab/>
        <w:t>za postojeće 40 m (po 20 m od osi), a za planirane 50 m (po 25 m od osi)“.</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11.</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U naslovu ispred članka 97c. briše se riječ „IZVAN“.</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12.</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lastRenderedPageBreak/>
        <w:t>Iza članka 97c. dodaje se naslov i članak 97d. koji glase:</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„UREĐAJI, POSTROJENJA I POTREBNA OPREMA ZA KORIŠTENJE ENERGIJE SUNCA IZVAN GRAĐEVINSKIH PODRUČJA</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97d.</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 U skladu s općim uvjetima smještaja sunčanih elektrana (SE) određenima PPDNŽ, planira se površina namijenjena gradnji elektroenergetske proizvodne infrastrukturne građevine - samostojeće SE „Profundi“ površine 2,43 ha, snage do 9,9 MW, utvrđena i ucrtana na kartografskim prikazima 1 „Korištenje i namjena površina“ i 2b „Infrastrukturni sustavi – pošta, elektroničke komunikacije i elektroenergetika“. Za realizaciju SE „Profundi“ propisuju se sljedeći uvjeti: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1. za biološku sanaciju okoliša nakon izgradnje koristiti autohtone vrste koje prirodno dolaze u sastavu vegetacije okolnog područja </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2. koristiti fotonaponske module sa što nižim stupnjem odbljeska te ostalu opremu bojama prilagođenu okruženju </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3. očuvati prirodnu konfiguraciju terena gdje god je to moguće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4. ako je ograđivanje nužno, ograditi svako polje s panelima zasebno, a ne cjelokupnu česticu sunčane elektrane; najveća dopuštena visina ograde treba iznositi 150 cm, s time da žičana ispuna ne smije biti niža od 50 cm od tla kako bi se omogućio nesmetan prolaz malim životinjama </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5. česticu sunčane elektrane potrebno je podijeliti na više polja s panelima tako da se osiguraju koridori za prolaz životinja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6. osigurati razmak između pojedinih modula koji će omogućiti prodor svjetlosti i kiše na tlo ispod modula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7. održavanje provoditi košnjom ili ispašom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8. nakon prestanka rada sunčane elektrane izvršiti biološku sanaciju površina koje su bile pod panelima i prostor vratiti u prvobitnu namjenu (ostalo poljoprivredno tlo, šume i šumsko tlo) na temelju posebno izrađenog projekta biološke sanacije. </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9. kao zaštitne pojaseve oko elektrane koristiti elemente karakteristične za okolni prostor (autohtonu vegetaciju, suhozide i sl.), pri čemu prema pristupnoj cesti mora biti osiguran zaštitni pojas širine najmanje 10 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10. osigurati razmak između redova panela koji će onemogućiti trajno zasjenjenje površina ispod panela </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11. zbog manjeg utjecaja na staništa, propisuje se spajanje energetskih kablova elektrana i postojećeg sustava distribucije električne energije podzemnim putem, a ako spajanje podzemnim kablovima nije moguće izvesti, izvedba dalekovoda mora biti takva da krupnija ptica svojim tijelom ne može premostiti žicu pod naponom odnosno zatvoriti strujni krug; vodovi trebaju biti udaljeni jedan od drugog najmanje 140 cm, jednako tako trebaju biti odmaknuti i od nosivih stupova; vodovi trebaju biti postavljeni u jednoj vertikalnoj ravnini kako bi smanjili mogućnost sudara  ptica s njima i označeni kako bi bili bolje vidljivi pticama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12. fotonaponske panele ne čistiti agresivnim kemijskim sredstvima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13. pomoćne zatvorene građevine na lokaciji elektrane mogu biti maksimalne tlocrtne površine 20 m², visine građevine najviše 3,5 m i smještene na manje uočljivom dijelu lokacije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14. za ostvarenje kolnog pristupa lokaciji uvjetuje se realizacija odnosno rekonstrukcija cestovne prometnice pri čemu je investitor  pravna osoba na koju JLS prenese odgovarajuću ovlast; potreban profil i druge karakteristike utvrdit će se projektno-tehničkom dokumentacijom s obzirom na lokalne uvjete i tehničke zahtjeve elektrane, pri čemu profil cestovne prometnice kojom se ostvaruje kolni pristup ne smije biti uži od 3,0 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15. omogućuje se realizacija samostojeće trafostanice i pripadajuće EEM za potrebe priključenja elektrane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16. koeficijent izgrađenosti čestice sunčane elektrane odnosno pokrivenosti lokacije fotonaponskim panelima može iznositi najviše 0,7</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17. dopušta se fazno građenje pojedinih cjelina zahvata u prostoru</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18. s obzirom na širi arheološki kontekst (blizina potencijalnog arheološkog nalazišta - kamenih gomila na obližnjoj k. č. 28485 k. o. Blato) treba voditi računa kako - sukladno posebnom propisu o zaštiti i očuvanju kulturnih dobara - ukoliko se prilikom nove izgradnje na planiranom obuhvatu naiđe na arheološko nalazište ili nalaze, osoba koja izvodi građevinske ili koje druge radove dužna je iste prekinuti i bez odgađanja obavijestiti nadležno tijelo (Konzervatorski odjel u Dubrovniku) koje će dalje postupati sukladno zakonskim ovlastima.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19. povezivanje, odnosno priključak planiranih obnovljivih izvora energije na elektroenergetsku mrežu, sastoji se od: pripadajuće trafostanice smještene u granicama obuhvata planiranog proizvodnog objekta iz obnovljivog izvora i priključnog dalekovoda/kabela na postojeći ili planirani dalekovod ili na postojeću ili planiranu trafostanicu javne elektroenergetske mreže; priključak se može smatrati sastavnim dijelom zahvata izgradnje elektrane iz reda obnovljivih izvora energije; točno definiranje trase i tehničkih obilježja priključnog dalekovoda/kabela i rasklopišta trafostanice u sklopu objekta proizvođača iz obnovljivog izvora energije biti će ostvarivo samo u pokrenutom upravnom postupku ishođenja lokacijske dozvole, po dobivenim pozitivnim uvjetima od strane nadležnog elektroprivrednog poduzeća/tvrtke; priključak obnovljivog izvora energije na elektroenergetsku mrežu koja je u nadležnosti operatora prijenosnog sustava definira se kao dio zahvata (faza/etapa) u okviru složene građevine - elektrane.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(2) </w:t>
      </w:r>
      <w:r>
        <w:rPr>
          <w:rFonts w:ascii="Times New Roman" w:eastAsia="Times New Roman" w:hAnsi="Times New Roman" w:cs="Times New Roman"/>
        </w:rPr>
        <w:tab/>
        <w:t xml:space="preserve">Realizacija sve potrebne komunalne infrastrukture za SE „Profundi“ predstavlja obvezu privatnog investitora. Ako u roku od 5 godina privatni investitor ne pokrene ovu investiciju, Općina Blato pokrenut će postupak određivanja nove lokacije za smještaj sunčane elektrane na području Općine Blato.“. </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13.</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U članku 101., stavku 1., mijenja se podstavak 15. i glasi: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„15.</w:t>
      </w:r>
      <w:r>
        <w:rPr>
          <w:rFonts w:ascii="Times New Roman" w:eastAsia="Times New Roman" w:hAnsi="Times New Roman" w:cs="Times New Roman"/>
        </w:rPr>
        <w:tab/>
        <w:t xml:space="preserve">Arheološka zona Kopila (Z-6585) - gradinsko naselje i nekropola Kopila na istoimenoj uzvisini SZ od naselja Blato - čije su granice prikazane na kartografskom prikazu 3a „Uvjeti korištenja, uređenja i zaštite prostora - prirodne vrijednosti i kulturna dobra“ sukladno prostornom obuhvatu iz točke 2. rješenja kojim se utvrđuje svojstvo kulturnog dobra Arheološke zone Kopila (Klasa: UP/1-612-08/15-06/0155; Urbroj:532-04-01-03-02/2-15-1 od 21. kolovoza 2015.). Mjere zaštite: - zaštitni i </w:t>
      </w:r>
      <w:r>
        <w:rPr>
          <w:rFonts w:ascii="Times New Roman" w:eastAsia="Times New Roman" w:hAnsi="Times New Roman" w:cs="Times New Roman"/>
        </w:rPr>
        <w:lastRenderedPageBreak/>
        <w:t>drugi radovi na kulturnome dobru mogu se poduzeti samo uz prethodno odobrenje nadležnoga tijela; - istraživanje kulturnoga dobra i iskapanje nalaza dopušteno je samo uz prethodno odobrenje nadležnoga tijela i uz uvjet da se svi nalazi nakon dovršenih istraživanja i iskapanja stručno konzerviraju, a pokretni nalazi predaju na privremenu pohranu muzeju do odluke o trajnoj pohrani: - arheološka istraživanja, na temelju članka 47., stavka 1. Zakona o zaštiti i očuvanju kulturnih dobara, mogu se obavljati samo na temelju odobrenja koje rješenjem daje nadležno tijelo; - uvjeti pod kojim se mogu obavljati arheološka istraživanja na području Republike Hrvatske propisani su Pravilnikom o arheološkim istraživanjima (NN 102/10, 2/20).“.</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14.</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U članku 102., stavku 1., podstavku A/ briše se podtočka koja glasi: „-</w:t>
      </w:r>
      <w:r>
        <w:rPr>
          <w:rFonts w:ascii="Times New Roman" w:eastAsia="Times New Roman" w:hAnsi="Times New Roman" w:cs="Times New Roman"/>
        </w:rPr>
        <w:tab/>
        <w:t>lokalitet na Kopili;“</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15.</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(1) U članku 117., stavku 2., tekst „Pravilniku o uvjetima za postupanje s otpadom“ zamjenjuje se tekstom „posebnim propisima iz područja gospodarenja otpadom“.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(2) U članku 117., stavku 3., tekst „planirana je“ zamjenjuje se tekstom „planirane su“, a tekst „građevina za obradu građevinskog otpada“ zamjenjuje se tekstom „reciklažno dvorište za građevinski otpad“.</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(3) U članku 117., stavku 5., tekst „"Uredbu o postupanju s viškom iskopa koji predstavlja mineralnu sirovinu kod izvođenja građevinskih radova"“ zamjenjuje se tekstom „odredbe posebnog propisa“.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(4) U članku 117. iza stavka 6., dodaju se stavci 7. i 8. koji glase: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„(7)</w:t>
      </w:r>
      <w:r>
        <w:rPr>
          <w:rFonts w:ascii="Times New Roman" w:eastAsia="Times New Roman" w:hAnsi="Times New Roman" w:cs="Times New Roman"/>
        </w:rPr>
        <w:tab/>
        <w:t>U sustavu gospodarenja otpadom, Planom je određena lokacija Kućište za reciklažno dvorište za građevinski otpad (GO), čija je površina (2,5 ha) razgraničena na kartografskom prikazu 1 „Korištenje i namjena površina“, a lokacija označena na kartografskom prikazu 2b „Infrastrukturni sustavi – vodnogospodarski sustav, sustav gospodarenja otpadom“.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(8)</w:t>
      </w:r>
      <w:r>
        <w:rPr>
          <w:rFonts w:ascii="Times New Roman" w:eastAsia="Times New Roman" w:hAnsi="Times New Roman" w:cs="Times New Roman"/>
        </w:rPr>
        <w:tab/>
        <w:t>Reciklažno dvorište za građevinski otpad iz stavka 7. ovog članka gradi se neposrednom provedbom Plana, uz uvjete gradnje kako slijedi: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(a)</w:t>
      </w:r>
      <w:r>
        <w:rPr>
          <w:rFonts w:ascii="Times New Roman" w:eastAsia="Times New Roman" w:hAnsi="Times New Roman" w:cs="Times New Roman"/>
        </w:rPr>
        <w:tab/>
        <w:t>dopušteno je formiranje građevne čestice namijenjene gradnji građevine odnosno funkcionalnog sklopa građevina za razvrstavanje, mehaničku obradu i privremeno skladištenje građevnog otpada, što uključuje odgovarajuće prometno-manipulativne površine, mogućnost gradnje zgrade za osoblje i pomoćnih zgrada (portirnica i/ili sl.), nadstrešnica, kazeta za privremeno skladištenje, platoa, vaga i rampi, ograda, te smještaj pratećih strojeva, uređaja i infrastrukture, zelenih površina i drugih potrebnih sadržaja i/ili uređenja, a sukladno Zakonu i posebnim propisima iz područja gospodarenja otpadom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(b)</w:t>
      </w:r>
      <w:r>
        <w:rPr>
          <w:rFonts w:ascii="Times New Roman" w:eastAsia="Times New Roman" w:hAnsi="Times New Roman" w:cs="Times New Roman"/>
        </w:rPr>
        <w:tab/>
        <w:t>najmanja dopuštena površina građevne čestice je 15000 m2, a najveća dopuštena površina građevne čestice je 25000 m2</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 xml:space="preserve">(c) </w:t>
      </w:r>
      <w:r>
        <w:rPr>
          <w:rFonts w:ascii="Times New Roman" w:eastAsia="Times New Roman" w:hAnsi="Times New Roman" w:cs="Times New Roman"/>
        </w:rPr>
        <w:tab/>
        <w:t>najveći dopušteni koeficijent izgrađenosti je 0,3</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(d)</w:t>
      </w:r>
      <w:r>
        <w:rPr>
          <w:rFonts w:ascii="Times New Roman" w:eastAsia="Times New Roman" w:hAnsi="Times New Roman" w:cs="Times New Roman"/>
        </w:rPr>
        <w:tab/>
        <w:t>najveća dopuštena katnost građevina na građevnoj čestici je Po/S+P (podrum ili suteren i prizemlje), a njihova najveća dopuštena visina je 5 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 xml:space="preserve">(e) </w:t>
      </w:r>
      <w:r>
        <w:rPr>
          <w:rFonts w:ascii="Times New Roman" w:eastAsia="Times New Roman" w:hAnsi="Times New Roman" w:cs="Times New Roman"/>
        </w:rPr>
        <w:tab/>
        <w:t xml:space="preserve">najmanje 20% površine građevne čestice mora biti hortikulturno uređeno, pri čemu se uz sve granice čestice (izuzev segmenta ili segmenata za jedan ili više kolnih ulaza odnosno izlaza) mora urediti zaštitni pojas visokog zelenila - drvored od autohtonih vrsta stabala </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(f)</w:t>
      </w:r>
      <w:r>
        <w:rPr>
          <w:rFonts w:ascii="Times New Roman" w:eastAsia="Times New Roman" w:hAnsi="Times New Roman" w:cs="Times New Roman"/>
        </w:rPr>
        <w:tab/>
        <w:t>najmanja dopuštena udaljenost građevina od regulacijske linije odnosno ruba zemljišnog pojasa pristupne ceste iznosi 5 m, a od ostalih granica čestice iznosi najmanje 4 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(g)</w:t>
      </w:r>
      <w:r>
        <w:rPr>
          <w:rFonts w:ascii="Times New Roman" w:eastAsia="Times New Roman" w:hAnsi="Times New Roman" w:cs="Times New Roman"/>
        </w:rPr>
        <w:tab/>
        <w:t>najmanja dopuštena širina kolnog pristupa građevnoj čestici je 4 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(h)</w:t>
      </w:r>
      <w:r>
        <w:rPr>
          <w:rFonts w:ascii="Times New Roman" w:eastAsia="Times New Roman" w:hAnsi="Times New Roman" w:cs="Times New Roman"/>
        </w:rPr>
        <w:tab/>
        <w:t>reciklažno dvorište za građevinski otpad mora biti priključeno na elektroopskrbnu mrežu ili da ima autonomni sustav opskrbom električnom energijom.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(i)</w:t>
      </w:r>
      <w:r>
        <w:rPr>
          <w:rFonts w:ascii="Times New Roman" w:eastAsia="Times New Roman" w:hAnsi="Times New Roman" w:cs="Times New Roman"/>
        </w:rPr>
        <w:tab/>
        <w:t>prihvat otpadnih voda se planira izgradnjom nepropusne sabirne jame ili uređaja za pročišćavanje, ovisno o uvjetima na terenu, uz suglasnost i prema uvjetima Hrvatskih voda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(j)</w:t>
      </w:r>
      <w:r>
        <w:rPr>
          <w:rFonts w:ascii="Times New Roman" w:eastAsia="Times New Roman" w:hAnsi="Times New Roman" w:cs="Times New Roman"/>
        </w:rPr>
        <w:tab/>
        <w:t>na lokaciji je potrebno osigurati potrebne količine vode za sanitarne i protupožarne potrebe</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(k)</w:t>
      </w:r>
      <w:r>
        <w:rPr>
          <w:rFonts w:ascii="Times New Roman" w:eastAsia="Times New Roman" w:hAnsi="Times New Roman" w:cs="Times New Roman"/>
        </w:rPr>
        <w:tab/>
        <w:t>portirnica i/ili zgrada za osoblje opremljena sanitarnim čvorom mogu biti montažnog tipa tj. tipski poslovni kontejneri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(l)</w:t>
      </w:r>
      <w:r>
        <w:rPr>
          <w:rFonts w:ascii="Times New Roman" w:eastAsia="Times New Roman" w:hAnsi="Times New Roman" w:cs="Times New Roman"/>
        </w:rPr>
        <w:tab/>
        <w:t>potrebe za parkiranjem osobnih vozila zaposlenika (sukladno normativima ovih Odredbi), teretnih i drugih vozila moraju se riješiti na samoj građevnoj čestici</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(m)</w:t>
      </w:r>
      <w:r>
        <w:rPr>
          <w:rFonts w:ascii="Times New Roman" w:eastAsia="Times New Roman" w:hAnsi="Times New Roman" w:cs="Times New Roman"/>
        </w:rPr>
        <w:tab/>
        <w:t>planira se izgradnja vodonepropusnih prometno-manipulativnih površina, te izgradnja (postavljanje) separatora ulja i masti namijenjena pročišćavanju potencijalno onečišćenih oborinskih voda</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(n)</w:t>
      </w:r>
      <w:r>
        <w:rPr>
          <w:rFonts w:ascii="Times New Roman" w:eastAsia="Times New Roman" w:hAnsi="Times New Roman" w:cs="Times New Roman"/>
        </w:rPr>
        <w:tab/>
        <w:t>reciklažno dvorište za građevinski otpad mora se ograditi, a najveća dopuštena visina ograde iznosi 2,0 m</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(o)</w:t>
      </w:r>
      <w:r>
        <w:rPr>
          <w:rFonts w:ascii="Times New Roman" w:eastAsia="Times New Roman" w:hAnsi="Times New Roman" w:cs="Times New Roman"/>
        </w:rPr>
        <w:tab/>
        <w:t>primjenjuju se ostale mjere zaštite okoliša te krajobraznih i prirodnih vrijednosti utvrđene Planom.“.</w:t>
      </w:r>
    </w:p>
    <w:p w:rsidR="00D62450" w:rsidRDefault="00D62450">
      <w:pPr>
        <w:tabs>
          <w:tab w:val="left" w:pos="567"/>
        </w:tabs>
        <w:spacing w:after="320" w:line="240" w:lineRule="auto"/>
        <w:rPr>
          <w:rFonts w:ascii="Times New Roman" w:eastAsia="Times New Roman" w:hAnsi="Times New Roman" w:cs="Times New Roman"/>
        </w:rPr>
      </w:pP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PRIJELAZNE I ZAVRŠNE ODREDBE</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16.</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t>Odluka o donošenju Prostornog plana uređenja Općine Blato (Službeni glasnik Općine Blato 3/03, 5/04, 3/07, 4/07, 7/07, 2/09, 7/13, 4/14, 8/15, 6/18, 3/21) primjenjivat će se u postupcima upravnih akata pokrenutim prije stupanja na snagu ove odluke.</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17.</w:t>
      </w:r>
    </w:p>
    <w:p w:rsidR="00D62450" w:rsidRDefault="00BF5B0F">
      <w:pPr>
        <w:tabs>
          <w:tab w:val="left" w:pos="567"/>
        </w:tabs>
        <w:spacing w:after="320" w:line="240" w:lineRule="auto"/>
        <w:rPr>
          <w:rFonts w:ascii="Times New Roman" w:eastAsia="Times New Roman" w:hAnsi="Times New Roman" w:cs="Times New Roman"/>
        </w:rPr>
      </w:pPr>
      <w:r>
        <w:rPr>
          <w:rFonts w:ascii="Times New Roman" w:eastAsia="Times New Roman" w:hAnsi="Times New Roman" w:cs="Times New Roman"/>
        </w:rPr>
        <w:t>Elaborat Ciljanih izmjena i dopuna Prostornog plana uređenja Općine Blato izrađen je u šest primjeraka.</w:t>
      </w:r>
    </w:p>
    <w:p w:rsidR="00D62450" w:rsidRDefault="00BF5B0F">
      <w:pPr>
        <w:tabs>
          <w:tab w:val="left" w:pos="567"/>
        </w:tabs>
        <w:spacing w:after="320" w:line="240" w:lineRule="auto"/>
        <w:jc w:val="center"/>
        <w:rPr>
          <w:rFonts w:ascii="Times New Roman" w:eastAsia="Times New Roman" w:hAnsi="Times New Roman" w:cs="Times New Roman"/>
        </w:rPr>
      </w:pPr>
      <w:r>
        <w:rPr>
          <w:rFonts w:ascii="Times New Roman" w:eastAsia="Times New Roman" w:hAnsi="Times New Roman" w:cs="Times New Roman"/>
        </w:rPr>
        <w:t>Članak 18.</w:t>
      </w:r>
    </w:p>
    <w:p w:rsidR="00D62450" w:rsidRDefault="00BF5B0F">
      <w:pPr>
        <w:tabs>
          <w:tab w:val="left" w:pos="567"/>
        </w:tabs>
        <w:spacing w:after="320" w:line="240" w:lineRule="auto"/>
        <w:jc w:val="both"/>
        <w:rPr>
          <w:rFonts w:ascii="Times New Roman" w:eastAsia="Times New Roman" w:hAnsi="Times New Roman" w:cs="Times New Roman"/>
        </w:rPr>
      </w:pPr>
      <w:r>
        <w:rPr>
          <w:rFonts w:ascii="Times New Roman" w:eastAsia="Times New Roman" w:hAnsi="Times New Roman" w:cs="Times New Roman"/>
        </w:rPr>
        <w:lastRenderedPageBreak/>
        <w:t>Ova odluka stupa na snagu osmoga dana od dana objave u Službenom glasniku Općine Blato.</w:t>
      </w:r>
    </w:p>
    <w:p w:rsidR="00D62450" w:rsidRDefault="00BF5B0F">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KLASA: </w:t>
      </w:r>
    </w:p>
    <w:p w:rsidR="00D62450" w:rsidRDefault="00BF5B0F">
      <w:pPr>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t xml:space="preserve">URBROJ: </w:t>
      </w:r>
    </w:p>
    <w:p w:rsidR="00D62450" w:rsidRDefault="00BF5B0F">
      <w:pPr>
        <w:spacing w:after="0" w:line="240" w:lineRule="auto"/>
        <w:jc w:val="both"/>
        <w:rPr>
          <w:rFonts w:ascii="TimesNewRomanPSMT" w:eastAsia="TimesNewRomanPSMT" w:hAnsi="TimesNewRomanPSMT" w:cs="TimesNewRomanPSMT"/>
          <w:sz w:val="24"/>
        </w:rPr>
      </w:pPr>
      <w:r>
        <w:rPr>
          <w:rFonts w:ascii="Times New Roman" w:eastAsia="Times New Roman" w:hAnsi="Times New Roman" w:cs="Times New Roman"/>
          <w:sz w:val="24"/>
        </w:rPr>
        <w:t xml:space="preserve">Blato, </w:t>
      </w:r>
      <w:r w:rsidR="003F7298">
        <w:rPr>
          <w:rFonts w:ascii="Times New Roman" w:eastAsia="Times New Roman" w:hAnsi="Times New Roman" w:cs="Times New Roman"/>
          <w:sz w:val="24"/>
        </w:rPr>
        <w:t>......................</w:t>
      </w:r>
      <w:r>
        <w:rPr>
          <w:rFonts w:ascii="Times New Roman" w:eastAsia="Times New Roman" w:hAnsi="Times New Roman" w:cs="Times New Roman"/>
          <w:sz w:val="24"/>
        </w:rPr>
        <w:t xml:space="preserve"> 2024. godine</w:t>
      </w:r>
    </w:p>
    <w:p w:rsidR="00D62450" w:rsidRDefault="00D62450">
      <w:pPr>
        <w:tabs>
          <w:tab w:val="left" w:pos="567"/>
        </w:tabs>
        <w:spacing w:after="320" w:line="240" w:lineRule="auto"/>
        <w:jc w:val="right"/>
        <w:rPr>
          <w:rFonts w:ascii="Times New Roman" w:eastAsia="Times New Roman" w:hAnsi="Times New Roman" w:cs="Times New Roman"/>
        </w:rPr>
      </w:pPr>
    </w:p>
    <w:p w:rsidR="00D62450" w:rsidRDefault="00D62450">
      <w:pPr>
        <w:tabs>
          <w:tab w:val="left" w:pos="567"/>
        </w:tabs>
        <w:spacing w:after="320" w:line="240" w:lineRule="auto"/>
        <w:jc w:val="right"/>
        <w:rPr>
          <w:rFonts w:ascii="Times New Roman" w:eastAsia="Times New Roman" w:hAnsi="Times New Roman" w:cs="Times New Roman"/>
        </w:rPr>
      </w:pPr>
    </w:p>
    <w:p w:rsidR="00D62450" w:rsidRDefault="00BF5B0F" w:rsidP="00E220D6">
      <w:pPr>
        <w:tabs>
          <w:tab w:val="left" w:pos="567"/>
        </w:tabs>
        <w:spacing w:after="0" w:line="240" w:lineRule="auto"/>
        <w:jc w:val="right"/>
        <w:rPr>
          <w:rFonts w:ascii="Times New Roman" w:eastAsia="Times New Roman" w:hAnsi="Times New Roman" w:cs="Times New Roman"/>
        </w:rPr>
      </w:pPr>
      <w:r>
        <w:rPr>
          <w:rFonts w:ascii="Times New Roman" w:eastAsia="Times New Roman" w:hAnsi="Times New Roman" w:cs="Times New Roman"/>
        </w:rPr>
        <w:t xml:space="preserve">OPĆINSKO VIJEĆE OPĆINE BLATO </w:t>
      </w:r>
    </w:p>
    <w:p w:rsidR="00D62450" w:rsidRDefault="00BF5B0F" w:rsidP="00E220D6">
      <w:pPr>
        <w:tabs>
          <w:tab w:val="left" w:pos="567"/>
        </w:tabs>
        <w:spacing w:after="0" w:line="240" w:lineRule="auto"/>
        <w:jc w:val="right"/>
        <w:rPr>
          <w:rFonts w:ascii="Times New Roman" w:eastAsia="Times New Roman" w:hAnsi="Times New Roman" w:cs="Times New Roman"/>
        </w:rPr>
      </w:pPr>
      <w:r>
        <w:rPr>
          <w:rFonts w:ascii="Times New Roman" w:eastAsia="Times New Roman" w:hAnsi="Times New Roman" w:cs="Times New Roman"/>
        </w:rPr>
        <w:t>PREDSJEDNIK</w:t>
      </w:r>
    </w:p>
    <w:p w:rsidR="00D62450" w:rsidRDefault="00BF5B0F" w:rsidP="00E220D6">
      <w:pPr>
        <w:tabs>
          <w:tab w:val="left" w:pos="567"/>
        </w:tabs>
        <w:spacing w:after="0" w:line="240" w:lineRule="auto"/>
        <w:jc w:val="right"/>
        <w:rPr>
          <w:rFonts w:ascii="Times New Roman" w:eastAsia="Times New Roman" w:hAnsi="Times New Roman" w:cs="Times New Roman"/>
        </w:rPr>
      </w:pPr>
      <w:r>
        <w:rPr>
          <w:rFonts w:ascii="Times New Roman" w:eastAsia="Times New Roman" w:hAnsi="Times New Roman" w:cs="Times New Roman"/>
        </w:rPr>
        <w:t>Želimir Bosnić, mr.ph., v. r.</w:t>
      </w:r>
    </w:p>
    <w:p w:rsidR="00E220D6" w:rsidRDefault="00E220D6" w:rsidP="00E220D6">
      <w:pPr>
        <w:tabs>
          <w:tab w:val="left" w:pos="567"/>
        </w:tabs>
        <w:spacing w:after="0" w:line="240" w:lineRule="auto"/>
        <w:jc w:val="right"/>
        <w:rPr>
          <w:rFonts w:ascii="Times New Roman" w:eastAsia="Times New Roman" w:hAnsi="Times New Roman" w:cs="Times New Roman"/>
        </w:rPr>
      </w:pPr>
    </w:p>
    <w:p w:rsidR="00E220D6" w:rsidRDefault="00E220D6" w:rsidP="00E220D6"/>
    <w:p w:rsidR="00E220D6" w:rsidRPr="00E220D6" w:rsidRDefault="00E220D6" w:rsidP="00E220D6">
      <w:pPr>
        <w:spacing w:after="0" w:line="240" w:lineRule="auto"/>
        <w:jc w:val="center"/>
        <w:rPr>
          <w:rFonts w:ascii="Times New Roman" w:hAnsi="Times New Roman" w:cs="Times New Roman"/>
          <w:sz w:val="24"/>
          <w:szCs w:val="24"/>
        </w:rPr>
      </w:pPr>
      <w:r w:rsidRPr="00E220D6">
        <w:rPr>
          <w:rFonts w:ascii="Times New Roman" w:hAnsi="Times New Roman" w:cs="Times New Roman"/>
          <w:sz w:val="24"/>
          <w:szCs w:val="24"/>
        </w:rPr>
        <w:t>OBRAZLOŽENJE</w:t>
      </w:r>
    </w:p>
    <w:p w:rsidR="00E220D6" w:rsidRPr="00E220D6" w:rsidRDefault="00E220D6" w:rsidP="00E220D6">
      <w:pPr>
        <w:spacing w:after="0" w:line="240" w:lineRule="auto"/>
        <w:rPr>
          <w:rFonts w:ascii="Times New Roman" w:hAnsi="Times New Roman" w:cs="Times New Roman"/>
          <w:sz w:val="24"/>
          <w:szCs w:val="24"/>
        </w:rPr>
      </w:pPr>
    </w:p>
    <w:p w:rsidR="00E220D6" w:rsidRPr="00E220D6" w:rsidRDefault="00E220D6" w:rsidP="00E220D6">
      <w:pPr>
        <w:spacing w:after="0" w:line="240" w:lineRule="auto"/>
        <w:rPr>
          <w:rFonts w:ascii="Times New Roman" w:hAnsi="Times New Roman" w:cs="Times New Roman"/>
          <w:sz w:val="24"/>
          <w:szCs w:val="24"/>
        </w:rPr>
      </w:pPr>
    </w:p>
    <w:p w:rsidR="00E220D6" w:rsidRPr="00E220D6" w:rsidRDefault="00E220D6" w:rsidP="00E220D6">
      <w:pPr>
        <w:spacing w:after="0" w:line="240" w:lineRule="auto"/>
        <w:jc w:val="both"/>
        <w:rPr>
          <w:rFonts w:ascii="Times New Roman" w:hAnsi="Times New Roman" w:cs="Times New Roman"/>
          <w:sz w:val="24"/>
          <w:szCs w:val="24"/>
        </w:rPr>
      </w:pPr>
      <w:r w:rsidRPr="00E220D6">
        <w:rPr>
          <w:rFonts w:ascii="Times New Roman" w:hAnsi="Times New Roman" w:cs="Times New Roman"/>
          <w:sz w:val="24"/>
          <w:szCs w:val="24"/>
        </w:rPr>
        <w:tab/>
        <w:t>Općina Blato  završila je  postupak izrade i donošenja „Ciljane izmjene i dopune Prostornog plana uređenja Općine Blato“ (Službeni glasnik Općine Blato 3/03, 5/04, 3/07, 4/07, 7/07, 2/09, 7/13, 4/14, 8/15, 6/18, 3/21; dalje: Plan).</w:t>
      </w:r>
      <w:r w:rsidRPr="00E220D6">
        <w:rPr>
          <w:rFonts w:ascii="Times New Roman" w:hAnsi="Times New Roman" w:cs="Times New Roman"/>
          <w:sz w:val="24"/>
          <w:szCs w:val="24"/>
        </w:rPr>
        <w:tab/>
      </w:r>
    </w:p>
    <w:p w:rsidR="00E220D6" w:rsidRPr="00E220D6" w:rsidRDefault="00E220D6" w:rsidP="00E220D6">
      <w:pPr>
        <w:spacing w:after="0" w:line="240" w:lineRule="auto"/>
        <w:jc w:val="both"/>
        <w:rPr>
          <w:rFonts w:ascii="Times New Roman" w:hAnsi="Times New Roman" w:cs="Times New Roman"/>
          <w:sz w:val="24"/>
          <w:szCs w:val="24"/>
        </w:rPr>
      </w:pPr>
      <w:r w:rsidRPr="00E220D6">
        <w:rPr>
          <w:rFonts w:ascii="Times New Roman" w:hAnsi="Times New Roman" w:cs="Times New Roman"/>
          <w:sz w:val="24"/>
          <w:szCs w:val="24"/>
        </w:rPr>
        <w:tab/>
        <w:t xml:space="preserve">Sukladno članku 61. Zakona o prostornom uređenju (Narodne novine br. 153/13, 65/17, 114/18, 39/19 i 98/19) Ciljane izmjene i dopuna Plana moraju biti usklađene s Prostornim planom Dubrovačko neretvanske županije. </w:t>
      </w:r>
      <w:r w:rsidRPr="00E220D6">
        <w:rPr>
          <w:rFonts w:ascii="Times New Roman" w:hAnsi="Times New Roman" w:cs="Times New Roman"/>
          <w:sz w:val="24"/>
          <w:szCs w:val="24"/>
        </w:rPr>
        <w:tab/>
      </w:r>
    </w:p>
    <w:p w:rsidR="00E220D6" w:rsidRPr="00E220D6" w:rsidRDefault="00E220D6" w:rsidP="00E220D6">
      <w:pPr>
        <w:spacing w:after="0" w:line="240" w:lineRule="auto"/>
        <w:jc w:val="both"/>
        <w:rPr>
          <w:rFonts w:ascii="Times New Roman" w:hAnsi="Times New Roman" w:cs="Times New Roman"/>
          <w:sz w:val="24"/>
          <w:szCs w:val="24"/>
        </w:rPr>
      </w:pPr>
      <w:r w:rsidRPr="00E220D6">
        <w:rPr>
          <w:rFonts w:ascii="Times New Roman" w:hAnsi="Times New Roman" w:cs="Times New Roman"/>
          <w:sz w:val="24"/>
          <w:szCs w:val="24"/>
        </w:rPr>
        <w:tab/>
        <w:t xml:space="preserve"> Odluka o izradi plana definirala je  zahtjeve za izmjenu i dopunu ovog plana:</w:t>
      </w:r>
    </w:p>
    <w:p w:rsidR="00E220D6" w:rsidRPr="00E220D6" w:rsidRDefault="00E220D6" w:rsidP="00E220D6">
      <w:pPr>
        <w:spacing w:after="0" w:line="240" w:lineRule="auto"/>
        <w:jc w:val="both"/>
        <w:rPr>
          <w:rFonts w:ascii="Times New Roman" w:hAnsi="Times New Roman" w:cs="Times New Roman"/>
          <w:sz w:val="24"/>
          <w:szCs w:val="24"/>
        </w:rPr>
      </w:pPr>
    </w:p>
    <w:p w:rsidR="00E220D6" w:rsidRPr="00E220D6" w:rsidRDefault="00E220D6" w:rsidP="00E220D6">
      <w:pPr>
        <w:pStyle w:val="ListParagraph"/>
        <w:numPr>
          <w:ilvl w:val="0"/>
          <w:numId w:val="1"/>
        </w:numPr>
        <w:jc w:val="both"/>
      </w:pPr>
      <w:r w:rsidRPr="00E220D6">
        <w:t>Utvrditi novu lokaciju za reciklažno dvorište za građevinski otpad u predjelu Kućište, površine 2,5 ha,</w:t>
      </w:r>
    </w:p>
    <w:p w:rsidR="00E220D6" w:rsidRPr="00E220D6" w:rsidRDefault="00E220D6" w:rsidP="00E220D6">
      <w:pPr>
        <w:pStyle w:val="ListParagraph"/>
        <w:numPr>
          <w:ilvl w:val="0"/>
          <w:numId w:val="1"/>
        </w:numPr>
        <w:jc w:val="both"/>
      </w:pPr>
      <w:r w:rsidRPr="00E220D6">
        <w:t>Izvršiti usklađenje Prostornog plana uređenja Općine Blato sa Prostornim planom DNŽ u pogledu kategorija poljoprivrednog i šumskog zemljišta,</w:t>
      </w:r>
    </w:p>
    <w:p w:rsidR="00E220D6" w:rsidRPr="00E220D6" w:rsidRDefault="00E220D6" w:rsidP="00E220D6">
      <w:pPr>
        <w:pStyle w:val="ListParagraph"/>
        <w:numPr>
          <w:ilvl w:val="0"/>
          <w:numId w:val="1"/>
        </w:numPr>
        <w:jc w:val="both"/>
      </w:pPr>
      <w:r w:rsidRPr="00E220D6">
        <w:t>Sukladno  Prostornom planu DNŽ planirati smještaj sunčane elektrane Profundi na površini od 2,4 ha,</w:t>
      </w:r>
    </w:p>
    <w:p w:rsidR="00E220D6" w:rsidRPr="00E220D6" w:rsidRDefault="00E220D6" w:rsidP="00E220D6">
      <w:pPr>
        <w:pStyle w:val="ListParagraph"/>
        <w:numPr>
          <w:ilvl w:val="0"/>
          <w:numId w:val="1"/>
        </w:numPr>
        <w:jc w:val="both"/>
      </w:pPr>
      <w:r w:rsidRPr="00E220D6">
        <w:t xml:space="preserve">Evidentirati arheološku zonu/nalazište Kopila u grafičkom i tekstualnom dijelu Plana, što je neophodno za osmišljavanje i realizaciju projekta „Arheološki park Kopila“. </w:t>
      </w:r>
    </w:p>
    <w:p w:rsidR="00E220D6" w:rsidRPr="00E220D6" w:rsidRDefault="00E220D6" w:rsidP="00E220D6">
      <w:pPr>
        <w:pStyle w:val="ListParagraph"/>
        <w:jc w:val="both"/>
      </w:pPr>
    </w:p>
    <w:p w:rsidR="00E220D6" w:rsidRPr="00E220D6" w:rsidRDefault="00E220D6" w:rsidP="00E220D6">
      <w:pPr>
        <w:pStyle w:val="ListParagraph"/>
        <w:jc w:val="both"/>
      </w:pPr>
      <w:r w:rsidRPr="00E220D6">
        <w:t xml:space="preserve">Općina Blato ishodila je suglasnost Ministarstva prostornog uređenja, graditeljstva i državne imovine na amandmane koje je Općinsko vijeće Općine Blato prihvatilo na 27. sjednici Općinskog vijeća 11. srpnja 2024. godine. </w:t>
      </w:r>
    </w:p>
    <w:p w:rsidR="00E220D6" w:rsidRPr="00E220D6" w:rsidRDefault="00E220D6" w:rsidP="00E220D6">
      <w:pPr>
        <w:pStyle w:val="ListParagraph"/>
        <w:jc w:val="both"/>
      </w:pPr>
      <w:r w:rsidRPr="00E220D6">
        <w:t xml:space="preserve">Slijedom navedenog ova Odluka upućuje se Općinskom vijeću na donošenje. </w:t>
      </w:r>
    </w:p>
    <w:p w:rsidR="00E220D6" w:rsidRPr="00E220D6" w:rsidRDefault="00E220D6" w:rsidP="00E220D6">
      <w:pPr>
        <w:pStyle w:val="ListParagraph"/>
        <w:jc w:val="both"/>
      </w:pPr>
    </w:p>
    <w:p w:rsidR="00E220D6" w:rsidRPr="00E220D6" w:rsidRDefault="00E220D6" w:rsidP="00E220D6">
      <w:pPr>
        <w:spacing w:after="0" w:line="240" w:lineRule="auto"/>
        <w:jc w:val="both"/>
        <w:rPr>
          <w:rFonts w:ascii="Times New Roman" w:hAnsi="Times New Roman" w:cs="Times New Roman"/>
          <w:sz w:val="24"/>
          <w:szCs w:val="24"/>
        </w:rPr>
      </w:pPr>
    </w:p>
    <w:p w:rsidR="00E220D6" w:rsidRPr="00E220D6" w:rsidRDefault="00E220D6" w:rsidP="00E220D6">
      <w:pPr>
        <w:tabs>
          <w:tab w:val="left" w:pos="567"/>
        </w:tabs>
        <w:spacing w:after="0" w:line="240" w:lineRule="auto"/>
        <w:jc w:val="right"/>
        <w:rPr>
          <w:rFonts w:ascii="Times New Roman" w:eastAsia="Times New Roman" w:hAnsi="Times New Roman" w:cs="Times New Roman"/>
          <w:sz w:val="24"/>
          <w:szCs w:val="24"/>
        </w:rPr>
      </w:pPr>
    </w:p>
    <w:sectPr w:rsidR="00E220D6" w:rsidRPr="00E220D6" w:rsidSect="00F2449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1263E"/>
    <w:multiLevelType w:val="hybridMultilevel"/>
    <w:tmpl w:val="A8C2A8F0"/>
    <w:lvl w:ilvl="0" w:tplc="11DEDFFE">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D62450"/>
    <w:rsid w:val="0012276E"/>
    <w:rsid w:val="003F7298"/>
    <w:rsid w:val="005E1BA2"/>
    <w:rsid w:val="0071755C"/>
    <w:rsid w:val="008D45E2"/>
    <w:rsid w:val="00904C52"/>
    <w:rsid w:val="00BF5B0F"/>
    <w:rsid w:val="00C45CC9"/>
    <w:rsid w:val="00D62450"/>
    <w:rsid w:val="00E220D6"/>
    <w:rsid w:val="00F24496"/>
  </w:rsids>
  <m:mathPr>
    <m:mathFont m:val="Cambria Math"/>
    <m:brkBin m:val="before"/>
    <m:brkBinSub m:val="--"/>
    <m:smallFrac m:val="off"/>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449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20D6"/>
    <w:pPr>
      <w:spacing w:after="0" w:line="240" w:lineRule="auto"/>
      <w:ind w:left="720"/>
      <w:contextualSpacing/>
    </w:pPr>
    <w:rPr>
      <w:rFonts w:ascii="Times New Roman" w:eastAsiaTheme="minorHAnsi" w:hAnsi="Times New Roman" w:cs="Times New Roman"/>
      <w:sz w:val="24"/>
      <w:szCs w:val="24"/>
      <w:lang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8</Pages>
  <Words>2837</Words>
  <Characters>16177</Characters>
  <Application>Microsoft Office Word</Application>
  <DocSecurity>0</DocSecurity>
  <Lines>134</Lines>
  <Paragraphs>37</Paragraphs>
  <ScaleCrop>false</ScaleCrop>
  <Company>Grizli777</Company>
  <LinksUpToDate>false</LinksUpToDate>
  <CharactersWithSpaces>18977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User</cp:lastModifiedBy>
  <cp:revision>6</cp:revision>
  <dcterms:created xsi:type="dcterms:W3CDTF">2024-10-14T10:35:00Z</dcterms:created>
  <dcterms:modified xsi:type="dcterms:W3CDTF">2024-10-14T12:42:00Z</dcterms:modified>
</cp:coreProperties>
</file>