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2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PRIJEDLOG</w:t>
      </w:r>
    </w:p>
    <w:p>
      <w:pPr>
        <w:spacing w:before="0" w:after="0" w:line="240"/>
        <w:ind w:right="0" w:left="0" w:firstLine="72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Temeljem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članka 91. Statuta Općine Blato (Službeni glasnik Općine Blato broj 2/21), Općinsko vijeće Općine Blato na svojoj ... sjednici, održanoj 2024. godine, donijelo je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ZAKLJU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ČAK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 prihva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ćanju Izvješća o naplati općinskih poreza u 2023. godini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I. </w:t>
        <w:tab/>
        <w:t xml:space="preserve">Prihva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ća se Izvješće o naplati općinskih poreza u 2023. godini.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II.</w:t>
        <w:tab/>
        <w:t xml:space="preserve">Ovaj Zaklju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čak stupa na snagu osmog dana od dana objave u „Službenom glasniku Općine Blato”.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KLASA: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URBROJ: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Blato,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INSKO VIJE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PREDSJEDNIK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Želimir Bosni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mag.pharm., v.r.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